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2F" w:rsidRPr="00586939" w:rsidRDefault="0018122F" w:rsidP="000F166B">
      <w:pPr>
        <w:pStyle w:val="Annexetitle"/>
        <w:rPr>
          <w:rFonts w:ascii="Arial" w:hAnsi="Arial" w:cs="Arial"/>
        </w:rPr>
      </w:pPr>
      <w:r w:rsidRPr="00586939">
        <w:rPr>
          <w:rFonts w:ascii="Arial" w:hAnsi="Arial" w:cs="Arial"/>
        </w:rPr>
        <w:t>Organisation &amp; m</w:t>
      </w:r>
      <w:r w:rsidR="00403557" w:rsidRPr="00586939">
        <w:rPr>
          <w:rFonts w:ascii="Arial" w:hAnsi="Arial" w:cs="Arial"/>
        </w:rPr>
        <w:t>É</w:t>
      </w:r>
      <w:r w:rsidRPr="00586939">
        <w:rPr>
          <w:rFonts w:ascii="Arial" w:hAnsi="Arial" w:cs="Arial"/>
        </w:rPr>
        <w:t>thodologie</w:t>
      </w:r>
    </w:p>
    <w:p w:rsidR="0018122F" w:rsidRPr="00586939" w:rsidRDefault="0018122F">
      <w:pPr>
        <w:spacing w:after="0"/>
        <w:jc w:val="center"/>
        <w:rPr>
          <w:rFonts w:ascii="Arial" w:hAnsi="Arial" w:cs="Arial"/>
          <w:b/>
          <w:sz w:val="22"/>
          <w:szCs w:val="22"/>
        </w:rPr>
      </w:pPr>
      <w:r w:rsidRPr="00586939">
        <w:rPr>
          <w:rFonts w:ascii="Arial" w:hAnsi="Arial" w:cs="Arial"/>
          <w:b/>
          <w:sz w:val="22"/>
        </w:rPr>
        <w:t>À remplir par le soumissionnaire</w:t>
      </w:r>
    </w:p>
    <w:p w:rsidR="00344337" w:rsidRPr="00586939" w:rsidRDefault="00344337" w:rsidP="00E93650">
      <w:pPr>
        <w:rPr>
          <w:rFonts w:ascii="Arial" w:hAnsi="Arial" w:cs="Arial"/>
          <w:sz w:val="22"/>
          <w:szCs w:val="22"/>
        </w:rPr>
      </w:pPr>
    </w:p>
    <w:p w:rsidR="003575D1" w:rsidRPr="00586939" w:rsidRDefault="003575D1" w:rsidP="00E93650">
      <w:pPr>
        <w:rPr>
          <w:rFonts w:ascii="Arial" w:hAnsi="Arial" w:cs="Arial"/>
          <w:sz w:val="22"/>
          <w:szCs w:val="22"/>
          <w:lang w:val="fr-BE"/>
        </w:rPr>
      </w:pPr>
      <w:r w:rsidRPr="00586939">
        <w:rPr>
          <w:rFonts w:ascii="Arial" w:hAnsi="Arial" w:cs="Arial"/>
          <w:sz w:val="22"/>
          <w:lang w:val="fr-BE"/>
        </w:rPr>
        <w:t>Veuillez fournir les informations suivantes:</w:t>
      </w:r>
    </w:p>
    <w:p w:rsidR="0018122F" w:rsidRPr="00586939" w:rsidRDefault="00344337" w:rsidP="00541D43">
      <w:pPr>
        <w:pStyle w:val="Titre1"/>
        <w:rPr>
          <w:rFonts w:ascii="Arial" w:hAnsi="Arial" w:cs="Arial"/>
          <w:lang w:val="fr-BE"/>
        </w:rPr>
      </w:pPr>
      <w:r w:rsidRPr="00586939">
        <w:rPr>
          <w:rFonts w:ascii="Arial" w:hAnsi="Arial" w:cs="Arial"/>
          <w:lang w:val="fr-BE"/>
        </w:rPr>
        <w:t>Raisonnement</w:t>
      </w:r>
    </w:p>
    <w:p w:rsidR="0018122F" w:rsidRPr="00586939" w:rsidRDefault="003575D1" w:rsidP="0077498F">
      <w:pPr>
        <w:pStyle w:val="Listepuces"/>
        <w:tabs>
          <w:tab w:val="clear" w:pos="283"/>
          <w:tab w:val="num" w:pos="851"/>
        </w:tabs>
        <w:spacing w:after="120"/>
        <w:ind w:left="851" w:hanging="425"/>
        <w:rPr>
          <w:rFonts w:ascii="Arial" w:hAnsi="Arial" w:cs="Arial"/>
          <w:sz w:val="22"/>
          <w:szCs w:val="22"/>
          <w:lang w:val="fr-BE"/>
        </w:rPr>
      </w:pPr>
      <w:r w:rsidRPr="00586939">
        <w:rPr>
          <w:rFonts w:ascii="Arial" w:hAnsi="Arial" w:cs="Arial"/>
          <w:sz w:val="22"/>
          <w:lang w:val="fr-BE"/>
        </w:rPr>
        <w:t>Observations éventuelles sur les termes de référence, importantes pour la bonne exécution des activités, en particulier des objectifs et résultats escomptés, montrant le degré de compréhension du marché. Avis sur les principaux sujets relatifs à la réalisation des objectifs du marché et des résultats escomptés.</w:t>
      </w:r>
    </w:p>
    <w:p w:rsidR="0018122F" w:rsidRPr="00586939" w:rsidRDefault="0018122F" w:rsidP="0077498F">
      <w:pPr>
        <w:pStyle w:val="Listepuces"/>
        <w:tabs>
          <w:tab w:val="clear" w:pos="283"/>
          <w:tab w:val="num" w:pos="851"/>
        </w:tabs>
        <w:ind w:left="851" w:hanging="425"/>
        <w:rPr>
          <w:rFonts w:ascii="Arial" w:hAnsi="Arial" w:cs="Arial"/>
          <w:sz w:val="22"/>
          <w:szCs w:val="22"/>
          <w:lang w:val="fr-BE"/>
        </w:rPr>
      </w:pPr>
      <w:r w:rsidRPr="00586939">
        <w:rPr>
          <w:rFonts w:ascii="Arial" w:hAnsi="Arial" w:cs="Arial"/>
          <w:sz w:val="22"/>
          <w:lang w:val="fr-BE"/>
        </w:rPr>
        <w:t>Explication des risques et des hypothèses ayant une incidence sur l'exécution du marché.</w:t>
      </w:r>
    </w:p>
    <w:p w:rsidR="0018122F" w:rsidRPr="00586939" w:rsidRDefault="0018122F" w:rsidP="00541D43">
      <w:pPr>
        <w:pStyle w:val="Titre1"/>
        <w:rPr>
          <w:rFonts w:ascii="Arial" w:hAnsi="Arial" w:cs="Arial"/>
          <w:lang w:val="fr-BE"/>
        </w:rPr>
      </w:pPr>
      <w:r w:rsidRPr="00586939">
        <w:rPr>
          <w:rFonts w:ascii="Arial" w:hAnsi="Arial" w:cs="Arial"/>
          <w:lang w:val="fr-BE"/>
        </w:rPr>
        <w:t>Stratégie</w:t>
      </w:r>
    </w:p>
    <w:p w:rsidR="0018122F" w:rsidRPr="00586939" w:rsidRDefault="0018122F" w:rsidP="0077498F">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Aperçu de l'approche proposée pour la mise en œuvre du marché</w:t>
      </w:r>
    </w:p>
    <w:p w:rsidR="0018122F" w:rsidRPr="00586939" w:rsidRDefault="0018122F" w:rsidP="0077498F">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Liste des missions proposées considérées comme nécessaires pour atteindre les objectifs du marché</w:t>
      </w:r>
    </w:p>
    <w:p w:rsidR="0018122F" w:rsidRPr="00586939" w:rsidRDefault="003575D1" w:rsidP="0077498F">
      <w:pPr>
        <w:pStyle w:val="Listepuces"/>
        <w:tabs>
          <w:tab w:val="clear" w:pos="283"/>
          <w:tab w:val="num" w:pos="851"/>
        </w:tabs>
        <w:ind w:left="851" w:hanging="425"/>
        <w:rPr>
          <w:rFonts w:ascii="Arial" w:hAnsi="Arial" w:cs="Arial"/>
          <w:sz w:val="22"/>
          <w:szCs w:val="22"/>
          <w:lang w:val="fr-BE"/>
        </w:rPr>
      </w:pPr>
      <w:r w:rsidRPr="00586939">
        <w:rPr>
          <w:rFonts w:ascii="Arial" w:hAnsi="Arial" w:cs="Arial"/>
          <w:sz w:val="22"/>
          <w:lang w:val="fr-BE"/>
        </w:rPr>
        <w:t>Participation et produits</w:t>
      </w:r>
    </w:p>
    <w:p w:rsidR="00C17711" w:rsidRPr="00586939" w:rsidRDefault="000F50E0" w:rsidP="00C17711">
      <w:pPr>
        <w:pStyle w:val="Titre1"/>
        <w:rPr>
          <w:rFonts w:ascii="Arial" w:hAnsi="Arial" w:cs="Arial"/>
          <w:lang w:val="fr-BE"/>
        </w:rPr>
      </w:pPr>
      <w:r w:rsidRPr="00586939">
        <w:rPr>
          <w:rFonts w:ascii="Arial" w:hAnsi="Arial" w:cs="Arial"/>
          <w:lang w:val="fr-BE"/>
        </w:rPr>
        <w:t>Fonction d'appui</w:t>
      </w:r>
      <w:r w:rsidR="00F229CE" w:rsidRPr="00586939">
        <w:rPr>
          <w:rFonts w:ascii="Arial" w:hAnsi="Arial" w:cs="Arial"/>
          <w:lang w:val="fr-BE"/>
        </w:rPr>
        <w:t>, sous-traitance et entité</w:t>
      </w:r>
      <w:r w:rsidR="00E63667" w:rsidRPr="00586939">
        <w:rPr>
          <w:rFonts w:ascii="Arial" w:hAnsi="Arial" w:cs="Arial"/>
          <w:lang w:val="fr-BE"/>
        </w:rPr>
        <w:t>s apportant leurs</w:t>
      </w:r>
      <w:r w:rsidR="00F229CE" w:rsidRPr="00586939">
        <w:rPr>
          <w:rFonts w:ascii="Arial" w:hAnsi="Arial" w:cs="Arial"/>
          <w:lang w:val="fr-BE"/>
        </w:rPr>
        <w:t xml:space="preserve"> capacités</w:t>
      </w:r>
      <w:r w:rsidRPr="00586939">
        <w:rPr>
          <w:rFonts w:ascii="Arial" w:hAnsi="Arial" w:cs="Arial"/>
          <w:lang w:val="fr-BE"/>
        </w:rPr>
        <w:t xml:space="preserve"> </w:t>
      </w:r>
    </w:p>
    <w:p w:rsidR="00C17711" w:rsidRPr="00586939" w:rsidRDefault="00C17711" w:rsidP="00C17711">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Description des moyens d'appui («back-stopping») qui seront mis à la disposition de l'équipe d'experts par le prestataire pendant l'exécution du marché</w:t>
      </w:r>
      <w:r w:rsidR="00D25EEB" w:rsidRPr="00586939">
        <w:rPr>
          <w:rFonts w:ascii="Arial" w:hAnsi="Arial" w:cs="Arial"/>
          <w:sz w:val="22"/>
          <w:lang w:val="fr-BE"/>
        </w:rPr>
        <w:t>.</w:t>
      </w:r>
      <w:r w:rsidRPr="00586939">
        <w:rPr>
          <w:rFonts w:ascii="Arial" w:hAnsi="Arial" w:cs="Arial"/>
          <w:sz w:val="22"/>
          <w:lang w:val="fr-BE"/>
        </w:rPr>
        <w:t xml:space="preserve">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l’expertise fournie dans la région/le pays d’origine et dans les pays partenaires, la structure organisationnelle ou autre supposée assurer cette fonction, ainsi que les systèmes de qualité disponibles, les méthodes et outils de capitalisation du savoir, disponibles parmi les différents membres du consortium. </w:t>
      </w:r>
    </w:p>
    <w:p w:rsidR="00C17711" w:rsidRPr="00586939" w:rsidRDefault="00C17711" w:rsidP="00C17711">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 xml:space="preserve">Présentation des accords de sous-traitance </w:t>
      </w:r>
      <w:r w:rsidR="00F229CE" w:rsidRPr="00586939">
        <w:rPr>
          <w:rFonts w:ascii="Arial" w:hAnsi="Arial" w:cs="Arial"/>
          <w:sz w:val="22"/>
          <w:lang w:val="fr-BE"/>
        </w:rPr>
        <w:t>et des accords</w:t>
      </w:r>
      <w:r w:rsidR="00E63667" w:rsidRPr="00586939">
        <w:rPr>
          <w:rFonts w:ascii="Arial" w:hAnsi="Arial" w:cs="Arial"/>
          <w:sz w:val="22"/>
          <w:lang w:val="fr-BE"/>
        </w:rPr>
        <w:t xml:space="preserve"> avec les entités apportant leurs</w:t>
      </w:r>
      <w:r w:rsidR="00F229CE" w:rsidRPr="00586939">
        <w:rPr>
          <w:rFonts w:ascii="Arial" w:hAnsi="Arial" w:cs="Arial"/>
          <w:sz w:val="22"/>
          <w:lang w:val="fr-BE"/>
        </w:rPr>
        <w:t xml:space="preserve"> capacités (si de telles entités ont été identifié</w:t>
      </w:r>
      <w:r w:rsidR="00D32502" w:rsidRPr="00586939">
        <w:rPr>
          <w:rFonts w:ascii="Arial" w:hAnsi="Arial" w:cs="Arial"/>
          <w:sz w:val="22"/>
          <w:lang w:val="fr-BE"/>
        </w:rPr>
        <w:t>e</w:t>
      </w:r>
      <w:r w:rsidR="00F229CE" w:rsidRPr="00586939">
        <w:rPr>
          <w:rFonts w:ascii="Arial" w:hAnsi="Arial" w:cs="Arial"/>
          <w:sz w:val="22"/>
          <w:lang w:val="fr-BE"/>
        </w:rPr>
        <w:t xml:space="preserve">s au cours de la phase de présélection) </w:t>
      </w:r>
      <w:r w:rsidRPr="00586939">
        <w:rPr>
          <w:rFonts w:ascii="Arial" w:hAnsi="Arial" w:cs="Arial"/>
          <w:sz w:val="22"/>
          <w:lang w:val="fr-BE"/>
        </w:rPr>
        <w:t xml:space="preserve">éventuellement conclus indiquant clairement les missions confiées au sous-traitant et </w:t>
      </w:r>
      <w:r w:rsidR="00E63667" w:rsidRPr="00586939">
        <w:rPr>
          <w:rFonts w:ascii="Arial" w:hAnsi="Arial" w:cs="Arial"/>
          <w:sz w:val="22"/>
          <w:lang w:val="fr-BE"/>
        </w:rPr>
        <w:t>aux entités apportant leurs</w:t>
      </w:r>
      <w:r w:rsidR="00D32502" w:rsidRPr="00586939">
        <w:rPr>
          <w:rFonts w:ascii="Arial" w:hAnsi="Arial" w:cs="Arial"/>
          <w:sz w:val="22"/>
          <w:lang w:val="fr-BE"/>
        </w:rPr>
        <w:t xml:space="preserve"> capacités et </w:t>
      </w:r>
      <w:r w:rsidRPr="00586939">
        <w:rPr>
          <w:rFonts w:ascii="Arial" w:hAnsi="Arial" w:cs="Arial"/>
          <w:sz w:val="22"/>
          <w:lang w:val="fr-BE"/>
        </w:rPr>
        <w:t>déclaration du soumissionnaire garantissant l'éligibilité du sous-traitant</w:t>
      </w:r>
      <w:r w:rsidR="00D32502" w:rsidRPr="00586939">
        <w:rPr>
          <w:rFonts w:ascii="Arial" w:hAnsi="Arial" w:cs="Arial"/>
          <w:sz w:val="22"/>
          <w:lang w:val="fr-BE"/>
        </w:rPr>
        <w:t xml:space="preserve"> et des entités</w:t>
      </w:r>
      <w:r w:rsidR="00E63667" w:rsidRPr="00586939">
        <w:rPr>
          <w:rFonts w:ascii="Arial" w:hAnsi="Arial" w:cs="Arial"/>
          <w:sz w:val="22"/>
          <w:lang w:val="fr-BE"/>
        </w:rPr>
        <w:t xml:space="preserve"> apportant leurs capacités</w:t>
      </w:r>
      <w:r w:rsidR="00D25EEB" w:rsidRPr="00586939">
        <w:rPr>
          <w:rFonts w:ascii="Arial" w:hAnsi="Arial" w:cs="Arial"/>
          <w:sz w:val="22"/>
          <w:lang w:val="fr-BE"/>
        </w:rPr>
        <w:t>.</w:t>
      </w:r>
    </w:p>
    <w:p w:rsidR="000F50E0" w:rsidRPr="00586939" w:rsidRDefault="000F50E0" w:rsidP="00C17711">
      <w:pPr>
        <w:pStyle w:val="Titre1"/>
        <w:rPr>
          <w:rFonts w:ascii="Arial" w:hAnsi="Arial" w:cs="Arial"/>
          <w:lang w:val="fr-BE"/>
        </w:rPr>
      </w:pPr>
      <w:r w:rsidRPr="00586939">
        <w:rPr>
          <w:rFonts w:ascii="Arial" w:hAnsi="Arial" w:cs="Arial"/>
          <w:lang w:val="fr-BE"/>
        </w:rPr>
        <w:lastRenderedPageBreak/>
        <w:t>Participation de tous les membres du consortium</w:t>
      </w:r>
      <w:r w:rsidR="00092E22" w:rsidRPr="00586939">
        <w:rPr>
          <w:rFonts w:ascii="Arial" w:hAnsi="Arial" w:cs="Arial"/>
          <w:lang w:val="fr-BE"/>
        </w:rPr>
        <w:t xml:space="preserve"> et des entités apportant leurs capacités</w:t>
      </w:r>
    </w:p>
    <w:p w:rsidR="000F50E0" w:rsidRPr="00586939" w:rsidRDefault="000F50E0" w:rsidP="0077498F">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 xml:space="preserve">Si une offre est soumise par un consortium, </w:t>
      </w:r>
      <w:r w:rsidR="002207AC" w:rsidRPr="00586939">
        <w:rPr>
          <w:rFonts w:ascii="Arial" w:hAnsi="Arial" w:cs="Arial"/>
          <w:sz w:val="22"/>
          <w:lang w:val="fr-BE"/>
        </w:rPr>
        <w:t xml:space="preserve">la </w:t>
      </w:r>
      <w:r w:rsidRPr="00586939">
        <w:rPr>
          <w:rFonts w:ascii="Arial" w:hAnsi="Arial" w:cs="Arial"/>
          <w:sz w:val="22"/>
          <w:lang w:val="fr-BE"/>
        </w:rPr>
        <w:t xml:space="preserve">description de la participation de chaque membre du consortium ainsi que de la répartition et de l'interaction des missions et des responsabilités entre </w:t>
      </w:r>
      <w:r w:rsidR="00D25EEB" w:rsidRPr="00586939">
        <w:rPr>
          <w:rFonts w:ascii="Arial" w:hAnsi="Arial" w:cs="Arial"/>
          <w:sz w:val="22"/>
          <w:lang w:val="fr-BE"/>
        </w:rPr>
        <w:t>les membres.</w:t>
      </w:r>
      <w:r w:rsidRPr="00586939">
        <w:rPr>
          <w:rFonts w:ascii="Arial" w:hAnsi="Arial" w:cs="Arial"/>
          <w:sz w:val="22"/>
          <w:lang w:val="fr-BE"/>
        </w:rPr>
        <w:t xml:space="preserve"> L'implication de tous les membres du consortium sera en outre considérée comme une valeur ajoutée. Si l'offre est soumise par une seule entreprise, le total des points disponibles dans cette rubrique de la grille d'évaluation seront alloués.</w:t>
      </w:r>
    </w:p>
    <w:p w:rsidR="00092E22" w:rsidRPr="00586939" w:rsidRDefault="00092E22" w:rsidP="007606C8">
      <w:pPr>
        <w:pStyle w:val="Listepuces"/>
        <w:tabs>
          <w:tab w:val="clear" w:pos="283"/>
          <w:tab w:val="num" w:pos="851"/>
        </w:tabs>
        <w:spacing w:after="120"/>
        <w:ind w:left="850" w:hanging="425"/>
        <w:rPr>
          <w:rFonts w:ascii="Arial" w:hAnsi="Arial" w:cs="Arial"/>
          <w:sz w:val="22"/>
          <w:lang w:val="fr-BE"/>
        </w:rPr>
      </w:pPr>
      <w:r w:rsidRPr="00586939">
        <w:rPr>
          <w:rFonts w:ascii="Arial" w:hAnsi="Arial" w:cs="Arial"/>
          <w:sz w:val="22"/>
          <w:lang w:val="fr-BE"/>
        </w:rPr>
        <w:t xml:space="preserve">Si le soumissionnaire s’est appuyé sur la capacité d’autres entités pour remplir les critères techniques et professionnels, la preuve </w:t>
      </w:r>
      <w:r w:rsidR="00541E24" w:rsidRPr="00586939">
        <w:rPr>
          <w:rFonts w:ascii="Arial" w:hAnsi="Arial" w:cs="Arial"/>
          <w:sz w:val="22"/>
          <w:lang w:val="fr-BE"/>
        </w:rPr>
        <w:t xml:space="preserve">de l’engagement écrit fourni par ces entités </w:t>
      </w:r>
      <w:r w:rsidRPr="00586939">
        <w:rPr>
          <w:rFonts w:ascii="Arial" w:hAnsi="Arial" w:cs="Arial"/>
          <w:sz w:val="22"/>
          <w:lang w:val="fr-BE"/>
        </w:rPr>
        <w:t xml:space="preserve">pour l’exécution des services pour lesquels </w:t>
      </w:r>
      <w:r w:rsidR="009730C6" w:rsidRPr="00586939">
        <w:rPr>
          <w:rFonts w:ascii="Arial" w:hAnsi="Arial" w:cs="Arial"/>
          <w:sz w:val="22"/>
          <w:lang w:val="fr-BE"/>
        </w:rPr>
        <w:t>leurs</w:t>
      </w:r>
      <w:r w:rsidRPr="00586939">
        <w:rPr>
          <w:rFonts w:ascii="Arial" w:hAnsi="Arial" w:cs="Arial"/>
          <w:sz w:val="22"/>
          <w:lang w:val="fr-BE"/>
        </w:rPr>
        <w:t xml:space="preserve"> capacités techniques et professionnelles sont exigées doit être fournie.</w:t>
      </w:r>
      <w:r w:rsidR="00541E24" w:rsidRPr="00586939">
        <w:rPr>
          <w:rFonts w:ascii="Arial" w:hAnsi="Arial" w:cs="Arial"/>
          <w:sz w:val="22"/>
          <w:lang w:val="fr-BE"/>
        </w:rPr>
        <w:t xml:space="preserve"> </w:t>
      </w:r>
    </w:p>
    <w:p w:rsidR="00092E22" w:rsidRPr="00586939" w:rsidRDefault="00092E22" w:rsidP="007606C8">
      <w:pPr>
        <w:pStyle w:val="Listepuces"/>
        <w:tabs>
          <w:tab w:val="clear" w:pos="283"/>
          <w:tab w:val="num" w:pos="851"/>
        </w:tabs>
        <w:spacing w:after="120"/>
        <w:ind w:left="850" w:hanging="425"/>
        <w:rPr>
          <w:rFonts w:ascii="Arial" w:hAnsi="Arial" w:cs="Arial"/>
          <w:sz w:val="22"/>
          <w:lang w:val="fr-BE"/>
        </w:rPr>
      </w:pPr>
      <w:r w:rsidRPr="00586939">
        <w:rPr>
          <w:rFonts w:ascii="Arial" w:hAnsi="Arial" w:cs="Arial"/>
          <w:sz w:val="22"/>
          <w:lang w:val="fr-BE"/>
        </w:rPr>
        <w:t>Si le soumissionnaire s’est appuyé sur la capacité d’autres entités pour remplir les critères économiques et financiers,</w:t>
      </w:r>
      <w:r w:rsidR="00541E24" w:rsidRPr="00586939">
        <w:rPr>
          <w:rFonts w:ascii="Arial" w:hAnsi="Arial" w:cs="Arial"/>
          <w:sz w:val="22"/>
          <w:lang w:val="fr-BE"/>
        </w:rPr>
        <w:t xml:space="preserve"> la preuve de l’engagement écrit fourni par ces entités aux fins d’établir leur responsabilité conjointe pour l’exécution du contrat doit être fournie.</w:t>
      </w:r>
    </w:p>
    <w:p w:rsidR="0018122F" w:rsidRPr="00586939" w:rsidRDefault="0018122F" w:rsidP="00541D43">
      <w:pPr>
        <w:pStyle w:val="Titre1"/>
        <w:rPr>
          <w:rFonts w:ascii="Arial" w:hAnsi="Arial" w:cs="Arial"/>
          <w:lang w:val="fr-BE"/>
        </w:rPr>
      </w:pPr>
      <w:r w:rsidRPr="00586939">
        <w:rPr>
          <w:rFonts w:ascii="Arial" w:hAnsi="Arial" w:cs="Arial"/>
          <w:lang w:val="fr-BE"/>
        </w:rPr>
        <w:t>Calendrier des activités</w:t>
      </w:r>
    </w:p>
    <w:p w:rsidR="0018122F" w:rsidRPr="00586939" w:rsidRDefault="0018122F" w:rsidP="0077498F">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Calendrier, chronologie et durée des missions proposées, en tenant compte du temps de trajet</w:t>
      </w:r>
      <w:r w:rsidR="00C27DA6" w:rsidRPr="00586939">
        <w:rPr>
          <w:rFonts w:ascii="Arial" w:hAnsi="Arial" w:cs="Arial"/>
          <w:sz w:val="22"/>
          <w:lang w:val="fr-BE"/>
        </w:rPr>
        <w:t>.</w:t>
      </w:r>
    </w:p>
    <w:p w:rsidR="0018122F" w:rsidRPr="00586939" w:rsidRDefault="0018122F" w:rsidP="0077498F">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Identification et répartition dans le temps des principales étapes de l'exécution du marché, en précisant notamment comment les résultats obtenus seront pris en compte dans les rapports, en particulier dans ceux stipulés dans les termes de référence</w:t>
      </w:r>
      <w:r w:rsidR="00C27DA6" w:rsidRPr="00586939">
        <w:rPr>
          <w:rFonts w:ascii="Arial" w:hAnsi="Arial" w:cs="Arial"/>
          <w:sz w:val="22"/>
          <w:lang w:val="fr-BE"/>
        </w:rPr>
        <w:t>.</w:t>
      </w:r>
    </w:p>
    <w:p w:rsidR="00F44728" w:rsidRPr="00586939" w:rsidRDefault="00F44728" w:rsidP="00451A17">
      <w:pPr>
        <w:pStyle w:val="Listepuces"/>
        <w:tabs>
          <w:tab w:val="clear" w:pos="283"/>
          <w:tab w:val="num" w:pos="851"/>
        </w:tabs>
        <w:spacing w:after="120"/>
        <w:ind w:left="850" w:hanging="425"/>
        <w:rPr>
          <w:rFonts w:ascii="Arial" w:hAnsi="Arial" w:cs="Arial"/>
          <w:sz w:val="22"/>
          <w:szCs w:val="22"/>
          <w:lang w:val="fr-BE"/>
        </w:rPr>
      </w:pPr>
      <w:r w:rsidRPr="00586939">
        <w:rPr>
          <w:rFonts w:ascii="Arial" w:hAnsi="Arial" w:cs="Arial"/>
          <w:sz w:val="22"/>
          <w:lang w:val="fr-BE"/>
        </w:rPr>
        <w:t xml:space="preserve">Les méthodologies prévues dans l'offre doivent inclure un plan de travail envisageant les ressources à mobiliser. </w:t>
      </w:r>
    </w:p>
    <w:p w:rsidR="0018122F" w:rsidRPr="00586939" w:rsidRDefault="0018122F" w:rsidP="0077498F">
      <w:pPr>
        <w:ind w:left="426"/>
        <w:rPr>
          <w:rFonts w:ascii="Arial" w:hAnsi="Arial" w:cs="Arial"/>
          <w:sz w:val="22"/>
          <w:szCs w:val="22"/>
          <w:lang w:val="fr-BE"/>
        </w:rPr>
      </w:pPr>
      <w:r w:rsidRPr="00586939">
        <w:rPr>
          <w:rFonts w:ascii="Arial" w:hAnsi="Arial" w:cs="Arial"/>
          <w:lang w:val="fr-BE"/>
        </w:rPr>
        <w:t>[</w:t>
      </w:r>
      <w:r w:rsidRPr="00586939">
        <w:rPr>
          <w:rFonts w:ascii="Arial" w:hAnsi="Arial" w:cs="Arial"/>
          <w:sz w:val="22"/>
          <w:highlight w:val="yellow"/>
          <w:lang w:val="fr-BE"/>
        </w:rPr>
        <w:t>Pour les marchés à prix unitaires</w:t>
      </w:r>
      <w:r w:rsidRPr="00586939">
        <w:rPr>
          <w:rFonts w:ascii="Arial" w:hAnsi="Arial" w:cs="Arial"/>
          <w:lang w:val="fr-BE"/>
        </w:rPr>
        <w:t> :</w:t>
      </w:r>
    </w:p>
    <w:p w:rsidR="0018122F" w:rsidRPr="00C635BD" w:rsidRDefault="0018122F" w:rsidP="0077498F">
      <w:pPr>
        <w:pStyle w:val="Listepuces"/>
        <w:tabs>
          <w:tab w:val="clear" w:pos="283"/>
          <w:tab w:val="num" w:pos="851"/>
        </w:tabs>
        <w:spacing w:after="120"/>
        <w:ind w:left="850" w:hanging="425"/>
        <w:rPr>
          <w:rFonts w:ascii="Arial" w:hAnsi="Arial" w:cs="Arial"/>
          <w:sz w:val="22"/>
          <w:szCs w:val="22"/>
          <w:highlight w:val="lightGray"/>
          <w:lang w:val="fr-BE"/>
        </w:rPr>
      </w:pPr>
      <w:r w:rsidRPr="00C635BD">
        <w:rPr>
          <w:rFonts w:ascii="Arial" w:hAnsi="Arial" w:cs="Arial"/>
          <w:sz w:val="22"/>
          <w:highlight w:val="lightGray"/>
          <w:lang w:val="fr-BE"/>
        </w:rPr>
        <w:t xml:space="preserve">Nombre prévu de jours de travail pour chaque catégorie d'experts, par mois, pendant la durée d'exécution du marché (par exemple, au moyen du tableur Excel utilisé pour la ventilation du budget) </w:t>
      </w:r>
      <w:bookmarkStart w:id="0" w:name="_GoBack"/>
      <w:bookmarkEnd w:id="0"/>
    </w:p>
    <w:p w:rsidR="00F2545F" w:rsidRPr="00C635BD" w:rsidRDefault="00F2545F" w:rsidP="0077498F">
      <w:pPr>
        <w:ind w:left="426" w:firstLine="141"/>
        <w:rPr>
          <w:rFonts w:ascii="Arial" w:hAnsi="Arial" w:cs="Arial"/>
          <w:sz w:val="22"/>
          <w:szCs w:val="22"/>
          <w:highlight w:val="lightGray"/>
          <w:lang w:val="fr-BE"/>
        </w:rPr>
      </w:pPr>
      <w:r w:rsidRPr="00C635BD">
        <w:rPr>
          <w:rFonts w:ascii="Arial" w:hAnsi="Arial" w:cs="Arial"/>
          <w:sz w:val="22"/>
          <w:highlight w:val="lightGray"/>
          <w:lang w:val="fr-BE"/>
        </w:rPr>
        <w:t xml:space="preserve">Indications sur la participation des experts: </w:t>
      </w:r>
    </w:p>
    <w:p w:rsidR="00291FB1" w:rsidRPr="00C635BD" w:rsidRDefault="00132167" w:rsidP="0077498F">
      <w:pPr>
        <w:pStyle w:val="Corpsdetexte"/>
        <w:spacing w:before="60"/>
        <w:ind w:left="567"/>
        <w:rPr>
          <w:rFonts w:ascii="Arial" w:hAnsi="Arial" w:cs="Arial"/>
          <w:sz w:val="22"/>
          <w:szCs w:val="22"/>
          <w:highlight w:val="lightGray"/>
          <w:u w:val="single"/>
          <w:lang w:val="fr-BE"/>
        </w:rPr>
      </w:pPr>
      <w:r w:rsidRPr="00C635BD">
        <w:rPr>
          <w:rFonts w:ascii="Arial" w:hAnsi="Arial" w:cs="Arial"/>
          <w:sz w:val="22"/>
          <w:highlight w:val="lightGray"/>
          <w:u w:val="single"/>
          <w:lang w:val="fr-BE"/>
        </w:rPr>
        <w:t xml:space="preserve">Le soumissionnaire doit prendre en compte la période de mise en œuvre du marché et proposer les nombres de jours pour chaque expert afin qu'ils accomplissent les missions décrites dans les termes de référence. </w:t>
      </w:r>
    </w:p>
    <w:p w:rsidR="00F2545F" w:rsidRPr="00C635BD" w:rsidRDefault="00BF5D08" w:rsidP="0077498F">
      <w:pPr>
        <w:pStyle w:val="Corpsdetexte"/>
        <w:spacing w:before="60"/>
        <w:ind w:left="567"/>
        <w:rPr>
          <w:rFonts w:ascii="Arial" w:hAnsi="Arial" w:cs="Arial"/>
          <w:sz w:val="22"/>
          <w:szCs w:val="22"/>
          <w:highlight w:val="lightGray"/>
          <w:lang w:val="fr-BE"/>
        </w:rPr>
      </w:pPr>
      <w:r w:rsidRPr="00C635BD">
        <w:rPr>
          <w:rFonts w:ascii="Arial" w:hAnsi="Arial" w:cs="Arial"/>
          <w:sz w:val="22"/>
          <w:highlight w:val="lightGray"/>
          <w:lang w:val="fr-BE"/>
        </w:rPr>
        <w:t>La mise en œuvre du marché (et les paiements correspondants) est basée uniquement sur les jours de travail. Le contractant ne sera payé que pour les jours de travail effectif sur base du prix unitaire journalier indiqué dans le budget. Les soumissionnaires doivent annexer leur «estimation d</w:t>
      </w:r>
      <w:r w:rsidR="006D003C" w:rsidRPr="00C635BD">
        <w:rPr>
          <w:rFonts w:ascii="Arial" w:hAnsi="Arial" w:cs="Arial"/>
          <w:sz w:val="22"/>
          <w:highlight w:val="lightGray"/>
          <w:lang w:val="fr-BE"/>
        </w:rPr>
        <w:t>u</w:t>
      </w:r>
      <w:r w:rsidRPr="00C635BD">
        <w:rPr>
          <w:rFonts w:ascii="Arial" w:hAnsi="Arial" w:cs="Arial"/>
          <w:sz w:val="22"/>
          <w:highlight w:val="lightGray"/>
          <w:lang w:val="fr-BE"/>
        </w:rPr>
        <w:t xml:space="preserve"> nombre de jours travaillés» contenue dans le tableur </w:t>
      </w:r>
      <w:r w:rsidR="006D003C" w:rsidRPr="00C635BD">
        <w:rPr>
          <w:rFonts w:ascii="Arial" w:hAnsi="Arial" w:cs="Arial"/>
          <w:sz w:val="22"/>
          <w:highlight w:val="lightGray"/>
          <w:lang w:val="fr-BE"/>
        </w:rPr>
        <w:t>au document intitulé «O</w:t>
      </w:r>
      <w:r w:rsidRPr="00C635BD">
        <w:rPr>
          <w:rFonts w:ascii="Arial" w:hAnsi="Arial" w:cs="Arial"/>
          <w:sz w:val="22"/>
          <w:highlight w:val="lightGray"/>
          <w:lang w:val="fr-BE"/>
        </w:rPr>
        <w:t>rganisation et méthodologie</w:t>
      </w:r>
      <w:r w:rsidR="006D003C" w:rsidRPr="00C635BD">
        <w:rPr>
          <w:rFonts w:ascii="Arial" w:hAnsi="Arial" w:cs="Arial"/>
          <w:sz w:val="22"/>
          <w:highlight w:val="lightGray"/>
          <w:lang w:val="fr-BE"/>
        </w:rPr>
        <w:t>»</w:t>
      </w:r>
      <w:r w:rsidRPr="00C635BD">
        <w:rPr>
          <w:rFonts w:ascii="Arial" w:hAnsi="Arial" w:cs="Arial"/>
          <w:sz w:val="22"/>
          <w:highlight w:val="lightGray"/>
          <w:lang w:val="fr-BE"/>
        </w:rPr>
        <w:t xml:space="preserve">, afin de démontrer l'adéquation entre la méthodologie proposée et l'implication des experts. Veuillez noter que le budget ventilé ne doit pas être annexé au document intitulé «Organisation et méthodologie», dans la mesure où l'offre financière ne doit pas être indiquée dans l'offre technique. </w:t>
      </w:r>
    </w:p>
    <w:p w:rsidR="00F2545F" w:rsidRPr="00C635BD" w:rsidRDefault="00F2545F" w:rsidP="0077498F">
      <w:pPr>
        <w:pStyle w:val="Corpsdetexte"/>
        <w:spacing w:before="60"/>
        <w:ind w:left="567"/>
        <w:rPr>
          <w:rFonts w:ascii="Arial" w:hAnsi="Arial" w:cs="Arial"/>
          <w:snapToGrid w:val="0"/>
          <w:sz w:val="22"/>
          <w:szCs w:val="22"/>
          <w:highlight w:val="lightGray"/>
          <w:lang w:val="fr-BE"/>
        </w:rPr>
      </w:pPr>
      <w:r w:rsidRPr="00C635BD">
        <w:rPr>
          <w:rFonts w:ascii="Arial" w:hAnsi="Arial" w:cs="Arial"/>
          <w:snapToGrid w:val="0"/>
          <w:sz w:val="22"/>
          <w:highlight w:val="lightGray"/>
          <w:lang w:val="fr-BE"/>
        </w:rPr>
        <w:t>Durant l'évaluation technique, une estimation sera faite pour vérifier que le nombre de jours de travail estimé pour chaque mois</w:t>
      </w:r>
      <w:r w:rsidR="003C14A6" w:rsidRPr="00C635BD">
        <w:rPr>
          <w:rFonts w:ascii="Arial" w:hAnsi="Arial" w:cs="Arial"/>
          <w:snapToGrid w:val="0"/>
          <w:sz w:val="22"/>
          <w:highlight w:val="lightGray"/>
          <w:lang w:val="fr-BE"/>
        </w:rPr>
        <w:t>,</w:t>
      </w:r>
      <w:r w:rsidRPr="00C635BD">
        <w:rPr>
          <w:rFonts w:ascii="Arial" w:hAnsi="Arial" w:cs="Arial"/>
          <w:snapToGrid w:val="0"/>
          <w:sz w:val="22"/>
          <w:highlight w:val="lightGray"/>
          <w:lang w:val="fr-BE"/>
        </w:rPr>
        <w:t xml:space="preserve"> pour chaque </w:t>
      </w:r>
      <w:r w:rsidR="003C14A6" w:rsidRPr="00C635BD">
        <w:rPr>
          <w:rFonts w:ascii="Arial" w:hAnsi="Arial" w:cs="Arial"/>
          <w:snapToGrid w:val="0"/>
          <w:sz w:val="22"/>
          <w:highlight w:val="lightGray"/>
          <w:lang w:val="fr-BE"/>
        </w:rPr>
        <w:t xml:space="preserve">catégorie </w:t>
      </w:r>
      <w:r w:rsidRPr="00C635BD">
        <w:rPr>
          <w:rFonts w:ascii="Arial" w:hAnsi="Arial" w:cs="Arial"/>
          <w:snapToGrid w:val="0"/>
          <w:sz w:val="22"/>
          <w:highlight w:val="lightGray"/>
          <w:lang w:val="fr-BE"/>
        </w:rPr>
        <w:t>d'expert proposé dans l</w:t>
      </w:r>
      <w:r w:rsidR="003C14A6" w:rsidRPr="00C635BD">
        <w:rPr>
          <w:rFonts w:ascii="Arial" w:hAnsi="Arial" w:cs="Arial"/>
          <w:snapToGrid w:val="0"/>
          <w:sz w:val="22"/>
          <w:highlight w:val="lightGray"/>
          <w:lang w:val="fr-BE"/>
        </w:rPr>
        <w:t>e document intitulé «O</w:t>
      </w:r>
      <w:r w:rsidRPr="00C635BD">
        <w:rPr>
          <w:rFonts w:ascii="Arial" w:hAnsi="Arial" w:cs="Arial"/>
          <w:snapToGrid w:val="0"/>
          <w:sz w:val="22"/>
          <w:highlight w:val="lightGray"/>
          <w:lang w:val="fr-BE"/>
        </w:rPr>
        <w:t>rganisation et méthodologie</w:t>
      </w:r>
      <w:r w:rsidR="003C14A6" w:rsidRPr="00C635BD">
        <w:rPr>
          <w:rFonts w:ascii="Arial" w:hAnsi="Arial" w:cs="Arial"/>
          <w:snapToGrid w:val="0"/>
          <w:sz w:val="22"/>
          <w:highlight w:val="lightGray"/>
          <w:lang w:val="fr-BE"/>
        </w:rPr>
        <w:t>»,</w:t>
      </w:r>
      <w:r w:rsidRPr="00C635BD">
        <w:rPr>
          <w:rFonts w:ascii="Arial" w:hAnsi="Arial" w:cs="Arial"/>
          <w:snapToGrid w:val="0"/>
          <w:sz w:val="22"/>
          <w:highlight w:val="lightGray"/>
          <w:lang w:val="fr-BE"/>
        </w:rPr>
        <w:t xml:space="preserve"> est suffisant afin que les objectifs des termes de référence soient remplis. Cet examen sera réalisé sur la base des profils définis dans les termes de référence et dans le document intitulé «Organisation et méthodologie».</w:t>
      </w:r>
    </w:p>
    <w:p w:rsidR="00F2545F" w:rsidRPr="00C635BD" w:rsidRDefault="00F2545F" w:rsidP="0077498F">
      <w:pPr>
        <w:pStyle w:val="Corpsdetexte"/>
        <w:spacing w:before="60"/>
        <w:ind w:left="567"/>
        <w:rPr>
          <w:rFonts w:ascii="Arial" w:hAnsi="Arial" w:cs="Arial"/>
          <w:snapToGrid w:val="0"/>
          <w:sz w:val="22"/>
          <w:szCs w:val="22"/>
          <w:highlight w:val="lightGray"/>
          <w:lang w:val="fr-BE"/>
        </w:rPr>
      </w:pPr>
      <w:r w:rsidRPr="00C635BD">
        <w:rPr>
          <w:rFonts w:ascii="Arial" w:hAnsi="Arial" w:cs="Arial"/>
          <w:sz w:val="22"/>
          <w:highlight w:val="lightGray"/>
          <w:lang w:val="fr-BE"/>
        </w:rPr>
        <w:t xml:space="preserve">Le soumissionnaire doit inclure une provision pour les congés des experts. Le droit à </w:t>
      </w:r>
      <w:r w:rsidRPr="00C635BD">
        <w:rPr>
          <w:rFonts w:ascii="Arial" w:hAnsi="Arial" w:cs="Arial"/>
          <w:snapToGrid w:val="0"/>
          <w:sz w:val="22"/>
          <w:highlight w:val="lightGray"/>
          <w:u w:val="single"/>
          <w:lang w:val="fr-BE"/>
        </w:rPr>
        <w:t>congé annuel</w:t>
      </w:r>
      <w:r w:rsidRPr="00C635BD">
        <w:rPr>
          <w:rFonts w:ascii="Arial" w:hAnsi="Arial" w:cs="Arial"/>
          <w:sz w:val="22"/>
          <w:highlight w:val="lightGray"/>
          <w:lang w:val="fr-BE"/>
        </w:rPr>
        <w:t xml:space="preserve"> des experts employés par le contractant est déterminé par leur contrat d'emploi avec </w:t>
      </w:r>
      <w:r w:rsidRPr="00C635BD">
        <w:rPr>
          <w:rFonts w:ascii="Arial" w:hAnsi="Arial" w:cs="Arial"/>
          <w:sz w:val="22"/>
          <w:highlight w:val="lightGray"/>
          <w:lang w:val="fr-BE"/>
        </w:rPr>
        <w:lastRenderedPageBreak/>
        <w:t xml:space="preserve">le contractant, et non par le marché de services entre le pouvoir adjudicateur et le contractant. Cependant, le pouvoir adjudicateur peut déterminer les dates auxquelles les experts pourront prendre leurs congés, dans la mesure où ceux-ci doivent être approuvés par le gestionnaire du projet, qui appréciera les demandes de congé éventuelles au regard des besoins du projet durant l’exécution du contrat. Pour des raisons évidentes, un jour de congé annuel n'est pas considéré comme un jour de travail. </w:t>
      </w:r>
    </w:p>
    <w:p w:rsidR="0068419D" w:rsidRPr="00C635BD" w:rsidRDefault="00F2545F" w:rsidP="0077498F">
      <w:pPr>
        <w:pStyle w:val="Corpsdetexte"/>
        <w:spacing w:before="60"/>
        <w:ind w:left="567"/>
        <w:rPr>
          <w:rFonts w:ascii="Arial" w:hAnsi="Arial" w:cs="Arial"/>
          <w:snapToGrid w:val="0"/>
          <w:sz w:val="22"/>
          <w:szCs w:val="22"/>
          <w:highlight w:val="lightGray"/>
          <w:lang w:val="fr-BE"/>
        </w:rPr>
      </w:pPr>
      <w:r w:rsidRPr="00C635BD">
        <w:rPr>
          <w:rFonts w:ascii="Arial" w:hAnsi="Arial" w:cs="Arial"/>
          <w:snapToGrid w:val="0"/>
          <w:sz w:val="22"/>
          <w:highlight w:val="lightGray"/>
          <w:lang w:val="fr-BE"/>
        </w:rPr>
        <w:t xml:space="preserve">Les honoraires versés à tous les experts doivent comprendre la rémunération de ces derniers, l'ensemble des frais administratifs liés à l'embauche des experts compétents, tels que les frais d'équipement, d’installation et de rapatriement (y compris les frais de déplacement à destination et en provenance du pays d’affectation lors de la prise et de la cessation de fonctions ainsi que des congés), les dépenses de logement, l’indemnité de dépaysement, les congés, l'assurance maladie et tout autre avantage en matière d'emploi accordé aux experts par le contractant. </w:t>
      </w:r>
      <w:r w:rsidR="006B0A96" w:rsidRPr="00C635BD">
        <w:rPr>
          <w:rFonts w:ascii="Arial" w:hAnsi="Arial" w:cs="Arial"/>
          <w:snapToGrid w:val="0"/>
          <w:sz w:val="22"/>
          <w:highlight w:val="lightGray"/>
          <w:lang w:val="fr-BE"/>
        </w:rPr>
        <w:t xml:space="preserve">Les honoraires </w:t>
      </w:r>
      <w:r w:rsidRPr="00C635BD">
        <w:rPr>
          <w:rFonts w:ascii="Arial" w:hAnsi="Arial" w:cs="Arial"/>
          <w:snapToGrid w:val="0"/>
          <w:sz w:val="22"/>
          <w:highlight w:val="lightGray"/>
          <w:lang w:val="fr-BE"/>
        </w:rPr>
        <w:t>doivent également inclure les dispositifs de sécurité éventuels, sauf si ceux-ci sont exceptionnellement inclus dans les dépenses accessoires</w:t>
      </w:r>
      <w:r w:rsidR="006B0A96" w:rsidRPr="00C635BD">
        <w:rPr>
          <w:rFonts w:ascii="Arial" w:hAnsi="Arial" w:cs="Arial"/>
          <w:snapToGrid w:val="0"/>
          <w:sz w:val="22"/>
          <w:highlight w:val="lightGray"/>
          <w:lang w:val="fr-BE"/>
        </w:rPr>
        <w:t xml:space="preserve">, de même que </w:t>
      </w:r>
      <w:r w:rsidRPr="00C635BD">
        <w:rPr>
          <w:rFonts w:ascii="Arial" w:hAnsi="Arial" w:cs="Arial"/>
          <w:snapToGrid w:val="0"/>
          <w:sz w:val="22"/>
          <w:highlight w:val="lightGray"/>
          <w:lang w:val="fr-BE"/>
        </w:rPr>
        <w:t xml:space="preserve">la marge, les frais généraux, les bénéfices et les moyens d'appui. </w:t>
      </w:r>
    </w:p>
    <w:p w:rsidR="00F2545F" w:rsidRPr="00586939" w:rsidRDefault="00883881" w:rsidP="0077498F">
      <w:pPr>
        <w:pStyle w:val="Corpsdetexte"/>
        <w:spacing w:before="60"/>
        <w:ind w:left="567"/>
        <w:rPr>
          <w:rFonts w:ascii="Arial" w:hAnsi="Arial" w:cs="Arial"/>
          <w:snapToGrid w:val="0"/>
          <w:sz w:val="22"/>
          <w:lang w:val="fr-BE"/>
        </w:rPr>
      </w:pPr>
      <w:r w:rsidRPr="00C635BD">
        <w:rPr>
          <w:rFonts w:ascii="Arial" w:hAnsi="Arial" w:cs="Arial"/>
          <w:snapToGrid w:val="0"/>
          <w:sz w:val="22"/>
          <w:highlight w:val="lightGray"/>
          <w:lang w:val="fr-BE"/>
        </w:rPr>
        <w:t>Un marché à prix unitaires/d'assistance technique est, par définition, un marché pour lequel le nombre de jours effectivement travaillés par mois, pour chaque catégorie d'experts, peut être différent du nombre de jours ouvrés estimé sur une base mensuelle dans le programme de travail. La participation effectivement requise pour les missions énoncées dans le document intitulé «Organisation et méthodologie» ne sera connue qu’au début de l’exécution du marché.  Le gestionnaire du projet aura recours au programme de travail lorsqu'il évaluera le nombre effectif de jours de travail indiqué dans chacune des factures afin de vérifier que l'exécution du marché est conforme au budget. Le contractant pourra actualiser son estimation pendant la mise en œuvre du projet dans le respect des conditions générales.</w:t>
      </w:r>
      <w:r w:rsidRPr="00586939">
        <w:rPr>
          <w:rFonts w:ascii="Arial" w:hAnsi="Arial" w:cs="Arial"/>
          <w:snapToGrid w:val="0"/>
          <w:sz w:val="22"/>
          <w:lang w:val="fr-BE"/>
        </w:rPr>
        <w:t>]</w:t>
      </w:r>
    </w:p>
    <w:p w:rsidR="00E63667" w:rsidRPr="00586939" w:rsidRDefault="00E63667" w:rsidP="00E63667">
      <w:pPr>
        <w:pStyle w:val="Corpsdetexte"/>
        <w:spacing w:before="60"/>
        <w:rPr>
          <w:rFonts w:ascii="Arial" w:hAnsi="Arial" w:cs="Arial"/>
          <w:snapToGrid w:val="0"/>
          <w:sz w:val="22"/>
          <w:lang w:val="fr-BE"/>
        </w:rPr>
      </w:pPr>
    </w:p>
    <w:p w:rsidR="00E63667" w:rsidRPr="00586939" w:rsidRDefault="00E63667" w:rsidP="00E63667">
      <w:pPr>
        <w:pStyle w:val="Corpsdetexte"/>
        <w:spacing w:before="60"/>
        <w:rPr>
          <w:rFonts w:ascii="Arial" w:hAnsi="Arial" w:cs="Arial"/>
          <w:snapToGrid w:val="0"/>
          <w:sz w:val="22"/>
          <w:szCs w:val="22"/>
          <w:lang w:val="fr-BE"/>
        </w:rPr>
      </w:pPr>
      <w:r w:rsidRPr="00586939">
        <w:rPr>
          <w:rFonts w:ascii="Arial" w:hAnsi="Arial" w:cs="Arial"/>
          <w:snapToGrid w:val="0"/>
          <w:sz w:val="22"/>
          <w:highlight w:val="yellow"/>
          <w:lang w:val="fr-BE"/>
        </w:rPr>
        <w:t xml:space="preserve">[La section suivante devrait être insérée uniquement si </w:t>
      </w:r>
      <w:r w:rsidR="00086124" w:rsidRPr="00586939">
        <w:rPr>
          <w:rFonts w:ascii="Arial" w:hAnsi="Arial" w:cs="Arial"/>
          <w:snapToGrid w:val="0"/>
          <w:sz w:val="22"/>
          <w:highlight w:val="yellow"/>
          <w:lang w:val="fr-BE"/>
        </w:rPr>
        <w:t>elle est considérée comme pertinente pour le marché de services :</w:t>
      </w:r>
    </w:p>
    <w:p w:rsidR="0018122F" w:rsidRPr="00C635BD" w:rsidRDefault="0018122F" w:rsidP="00541D43">
      <w:pPr>
        <w:pStyle w:val="Titre1"/>
        <w:rPr>
          <w:rFonts w:ascii="Arial" w:hAnsi="Arial" w:cs="Arial"/>
          <w:highlight w:val="lightGray"/>
          <w:lang w:val="fr-BE"/>
        </w:rPr>
      </w:pPr>
      <w:r w:rsidRPr="00C635BD">
        <w:rPr>
          <w:rFonts w:ascii="Arial" w:hAnsi="Arial" w:cs="Arial"/>
          <w:highlight w:val="lightGray"/>
          <w:lang w:val="fr-BE"/>
        </w:rPr>
        <w:t>Cadre logique</w:t>
      </w:r>
    </w:p>
    <w:p w:rsidR="00356106" w:rsidRPr="00C635BD" w:rsidRDefault="007606C8" w:rsidP="005155D9">
      <w:pPr>
        <w:rPr>
          <w:rFonts w:ascii="Arial" w:hAnsi="Arial" w:cs="Arial"/>
          <w:sz w:val="22"/>
          <w:szCs w:val="22"/>
          <w:highlight w:val="lightGray"/>
          <w:lang w:val="fr-BE"/>
        </w:rPr>
        <w:sectPr w:rsidR="00356106" w:rsidRPr="00C635BD" w:rsidSect="00541D43">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720" w:footer="587" w:gutter="567"/>
          <w:paperSrc w:first="15" w:other="15"/>
          <w:pgNumType w:start="1"/>
          <w:cols w:space="720"/>
          <w:titlePg/>
        </w:sectPr>
      </w:pPr>
      <w:r w:rsidRPr="00C635BD">
        <w:rPr>
          <w:rFonts w:ascii="Arial" w:hAnsi="Arial" w:cs="Arial"/>
          <w:sz w:val="22"/>
          <w:szCs w:val="22"/>
          <w:highlight w:val="lightGray"/>
          <w:lang w:val="fr-BE"/>
        </w:rPr>
        <w:t>La matrice</w:t>
      </w:r>
      <w:r w:rsidR="005155D9" w:rsidRPr="00C635BD">
        <w:rPr>
          <w:rFonts w:ascii="Arial" w:hAnsi="Arial" w:cs="Arial"/>
          <w:sz w:val="22"/>
          <w:szCs w:val="22"/>
          <w:highlight w:val="lightGray"/>
          <w:lang w:val="fr-BE"/>
        </w:rPr>
        <w:t xml:space="preserve"> de cadre logique devrait évoluer au cours de la durée de vie de l’action (c’est-à-dire des projets): des lignes supplémentaires peuvent être ajoutées pour intégrer de nouvelles activités, des  colonnes supplémentaires peuvent être utilisées pour mentionner des cibles intermédiaires (niveaux de référence) lorsqu’il y a lieu et les valeurs seront actualisées régulièrement dans la colonne prévue pour rendre compte des résultats obtenus (voir «valeur actuelle»). Le terme «résultats» désigne les produits, l’effet/les effets et l'impact de l’action.</w:t>
      </w:r>
    </w:p>
    <w:p w:rsidR="005155D9" w:rsidRPr="00C635BD" w:rsidRDefault="005155D9" w:rsidP="005155D9">
      <w:pPr>
        <w:rPr>
          <w:rFonts w:ascii="Arial" w:hAnsi="Arial" w:cs="Arial"/>
          <w:sz w:val="22"/>
          <w:szCs w:val="22"/>
          <w:highlight w:val="lightGray"/>
          <w:lang w:val="fr-BE"/>
        </w:rPr>
      </w:pPr>
    </w:p>
    <w:p w:rsidR="005155D9" w:rsidRPr="00C635BD" w:rsidRDefault="00884944" w:rsidP="005155D9">
      <w:pPr>
        <w:rPr>
          <w:rFonts w:ascii="Arial" w:hAnsi="Arial" w:cs="Arial"/>
          <w:sz w:val="22"/>
          <w:szCs w:val="22"/>
          <w:highlight w:val="lightGray"/>
          <w:lang w:val="fr-BE"/>
        </w:rPr>
      </w:pPr>
      <w:r w:rsidRPr="00C635BD">
        <w:rPr>
          <w:rFonts w:ascii="Arial" w:hAnsi="Arial" w:cs="Arial"/>
          <w:sz w:val="22"/>
          <w:szCs w:val="22"/>
          <w:highlight w:val="lightGray"/>
        </w:rPr>
        <w:t>Les modifications</w:t>
      </w:r>
      <w:r w:rsidR="00403CFA" w:rsidRPr="00C635BD">
        <w:rPr>
          <w:rFonts w:ascii="Arial" w:hAnsi="Arial" w:cs="Arial"/>
          <w:sz w:val="22"/>
          <w:szCs w:val="22"/>
          <w:highlight w:val="lightGray"/>
        </w:rPr>
        <w:t xml:space="preserve"> du cadre logique qui ont une incidence sur les résultats attendus (impact, effets et produits) font l’objet d'un accord écrit avec l’administration contractante avant d’être effectuées, et sont mis</w:t>
      </w:r>
      <w:r w:rsidR="00814FF9" w:rsidRPr="00C635BD">
        <w:rPr>
          <w:rFonts w:ascii="Arial" w:hAnsi="Arial" w:cs="Arial"/>
          <w:sz w:val="22"/>
          <w:szCs w:val="22"/>
          <w:highlight w:val="lightGray"/>
        </w:rPr>
        <w:t>es</w:t>
      </w:r>
      <w:r w:rsidR="00403CFA" w:rsidRPr="00C635BD">
        <w:rPr>
          <w:rFonts w:ascii="Arial" w:hAnsi="Arial" w:cs="Arial"/>
          <w:sz w:val="22"/>
          <w:szCs w:val="22"/>
          <w:highlight w:val="lightGray"/>
        </w:rPr>
        <w:t xml:space="preserve"> en œuvre par une modification formelle du contrat </w:t>
      </w:r>
      <w:r w:rsidR="00403CFA" w:rsidRPr="00C635BD" w:rsidDel="00403CFA">
        <w:rPr>
          <w:rFonts w:ascii="Arial" w:hAnsi="Arial" w:cs="Arial"/>
          <w:sz w:val="22"/>
          <w:szCs w:val="22"/>
          <w:highlight w:val="lightGray"/>
          <w:lang w:val="fr-BE"/>
        </w:rPr>
        <w:t xml:space="preserve"> </w:t>
      </w:r>
    </w:p>
    <w:p w:rsidR="00356106" w:rsidRDefault="00356106" w:rsidP="005155D9">
      <w:pPr>
        <w:rPr>
          <w:rFonts w:ascii="Arial" w:hAnsi="Arial" w:cs="Arial"/>
          <w:sz w:val="22"/>
          <w:szCs w:val="22"/>
          <w:lang w:val="fr-BE"/>
        </w:rPr>
      </w:pPr>
    </w:p>
    <w:p w:rsidR="00356106" w:rsidRDefault="00356106" w:rsidP="005155D9">
      <w:pPr>
        <w:rPr>
          <w:rFonts w:ascii="Arial" w:hAnsi="Arial" w:cs="Arial"/>
          <w:sz w:val="22"/>
          <w:szCs w:val="22"/>
          <w:lang w:val="fr-BE"/>
        </w:rPr>
      </w:pPr>
    </w:p>
    <w:p w:rsidR="00356106" w:rsidRDefault="00356106" w:rsidP="005155D9">
      <w:pPr>
        <w:rPr>
          <w:rFonts w:ascii="Arial" w:hAnsi="Arial" w:cs="Arial"/>
          <w:sz w:val="22"/>
          <w:szCs w:val="22"/>
          <w:lang w:val="fr-BE"/>
        </w:rPr>
      </w:pPr>
    </w:p>
    <w:p w:rsidR="00356106" w:rsidRDefault="00356106" w:rsidP="005155D9">
      <w:pPr>
        <w:rPr>
          <w:rFonts w:ascii="Arial" w:hAnsi="Arial" w:cs="Arial"/>
          <w:sz w:val="22"/>
          <w:szCs w:val="22"/>
          <w:lang w:val="fr-BE"/>
        </w:rPr>
      </w:pPr>
    </w:p>
    <w:p w:rsidR="00356106" w:rsidRDefault="00356106" w:rsidP="005155D9">
      <w:pPr>
        <w:rPr>
          <w:rFonts w:ascii="Arial" w:hAnsi="Arial" w:cs="Arial"/>
          <w:sz w:val="22"/>
          <w:szCs w:val="22"/>
          <w:lang w:val="fr-BE"/>
        </w:rPr>
      </w:pPr>
    </w:p>
    <w:p w:rsidR="00356106" w:rsidRDefault="00356106" w:rsidP="005155D9">
      <w:pPr>
        <w:rPr>
          <w:rFonts w:ascii="Arial" w:hAnsi="Arial" w:cs="Arial"/>
          <w:sz w:val="22"/>
          <w:szCs w:val="22"/>
          <w:lang w:val="fr-BE"/>
        </w:rPr>
      </w:pPr>
    </w:p>
    <w:p w:rsidR="00356106" w:rsidRPr="00586939" w:rsidRDefault="00356106" w:rsidP="005155D9">
      <w:pPr>
        <w:rPr>
          <w:rFonts w:ascii="Arial" w:hAnsi="Arial" w:cs="Arial"/>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942"/>
        <w:gridCol w:w="2107"/>
        <w:gridCol w:w="1826"/>
        <w:gridCol w:w="1513"/>
        <w:gridCol w:w="1981"/>
        <w:gridCol w:w="1869"/>
        <w:gridCol w:w="2056"/>
      </w:tblGrid>
      <w:tr w:rsidR="005155D9" w:rsidRPr="00586939" w:rsidTr="00AB43A7">
        <w:trPr>
          <w:cantSplit/>
          <w:tblHeader/>
        </w:trPr>
        <w:tc>
          <w:tcPr>
            <w:tcW w:w="0" w:type="auto"/>
            <w:tcBorders>
              <w:bottom w:val="single" w:sz="4" w:space="0" w:color="auto"/>
            </w:tcBorders>
            <w:shd w:val="clear" w:color="auto" w:fill="BFBFBF"/>
          </w:tcPr>
          <w:p w:rsidR="005155D9" w:rsidRPr="00586939" w:rsidRDefault="005155D9" w:rsidP="00021F15">
            <w:pPr>
              <w:rPr>
                <w:rFonts w:ascii="Arial" w:hAnsi="Arial" w:cs="Arial"/>
                <w:i/>
                <w:sz w:val="20"/>
                <w:lang w:val="fr-BE"/>
              </w:rPr>
            </w:pP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Chaîne de résultats</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Indicateur</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 xml:space="preserve">Niveau de référence </w:t>
            </w:r>
          </w:p>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(valeur et année de référence)</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Cible</w:t>
            </w:r>
          </w:p>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(valeur et année de référence)</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Valeur actuelle*</w:t>
            </w:r>
          </w:p>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(année de référence)</w:t>
            </w:r>
          </w:p>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 à inclure dans les rapports intermédiaires et le rapport final)</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Source et moyen de vérification</w:t>
            </w:r>
          </w:p>
        </w:tc>
        <w:tc>
          <w:tcPr>
            <w:tcW w:w="0" w:type="auto"/>
            <w:tcBorders>
              <w:bottom w:val="single" w:sz="4" w:space="0" w:color="auto"/>
            </w:tcBorders>
            <w:shd w:val="clear" w:color="auto" w:fill="BFBFBF"/>
          </w:tcPr>
          <w:p w:rsidR="005155D9" w:rsidRPr="00586939" w:rsidRDefault="005155D9" w:rsidP="00021F15">
            <w:pPr>
              <w:jc w:val="center"/>
              <w:rPr>
                <w:rFonts w:ascii="Arial" w:hAnsi="Arial" w:cs="Arial"/>
                <w:b/>
                <w:i/>
                <w:sz w:val="20"/>
                <w:lang w:val="fr-BE"/>
              </w:rPr>
            </w:pPr>
            <w:r w:rsidRPr="00586939">
              <w:rPr>
                <w:rFonts w:ascii="Arial" w:hAnsi="Arial" w:cs="Arial"/>
                <w:b/>
                <w:i/>
                <w:sz w:val="20"/>
                <w:lang w:val="fr-BE"/>
              </w:rPr>
              <w:t>Hypothèses</w:t>
            </w:r>
          </w:p>
        </w:tc>
      </w:tr>
      <w:tr w:rsidR="005155D9" w:rsidRPr="00586939" w:rsidTr="00AB43A7">
        <w:trPr>
          <w:trHeight w:val="1409"/>
        </w:trPr>
        <w:tc>
          <w:tcPr>
            <w:tcW w:w="0" w:type="auto"/>
            <w:textDirection w:val="btLr"/>
          </w:tcPr>
          <w:p w:rsidR="005155D9" w:rsidRPr="00586939" w:rsidRDefault="005155D9" w:rsidP="00021F15">
            <w:pPr>
              <w:tabs>
                <w:tab w:val="left" w:pos="0"/>
                <w:tab w:val="left" w:pos="132"/>
              </w:tabs>
              <w:ind w:left="113" w:right="113"/>
              <w:jc w:val="center"/>
              <w:rPr>
                <w:rFonts w:ascii="Arial" w:hAnsi="Arial" w:cs="Arial"/>
                <w:b/>
                <w:i/>
                <w:sz w:val="20"/>
                <w:lang w:val="fr-BE"/>
              </w:rPr>
            </w:pPr>
            <w:r w:rsidRPr="00586939">
              <w:rPr>
                <w:rFonts w:ascii="Arial" w:hAnsi="Arial" w:cs="Arial"/>
                <w:b/>
                <w:i/>
                <w:sz w:val="20"/>
                <w:lang w:val="fr-BE"/>
              </w:rPr>
              <w:t>Impact (objectif général)</w:t>
            </w: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Le changement plus global, à long terme, auquel l’action contribue au niveau natio</w:t>
            </w:r>
            <w:r w:rsidR="006B0A96" w:rsidRPr="00586939">
              <w:rPr>
                <w:rFonts w:ascii="Arial" w:hAnsi="Arial" w:cs="Arial"/>
                <w:i/>
                <w:sz w:val="20"/>
                <w:lang w:val="fr-BE"/>
              </w:rPr>
              <w:t>-</w:t>
            </w:r>
            <w:r w:rsidRPr="00586939">
              <w:rPr>
                <w:rFonts w:ascii="Arial" w:hAnsi="Arial" w:cs="Arial"/>
                <w:i/>
                <w:sz w:val="20"/>
                <w:lang w:val="fr-BE"/>
              </w:rPr>
              <w:t>nal, régional ou sectoriel, dans le con</w:t>
            </w:r>
            <w:r w:rsidR="006B0A96" w:rsidRPr="00586939">
              <w:rPr>
                <w:rFonts w:ascii="Arial" w:hAnsi="Arial" w:cs="Arial"/>
                <w:i/>
                <w:sz w:val="20"/>
                <w:lang w:val="fr-BE"/>
              </w:rPr>
              <w:t>-</w:t>
            </w:r>
            <w:r w:rsidRPr="00586939">
              <w:rPr>
                <w:rFonts w:ascii="Arial" w:hAnsi="Arial" w:cs="Arial"/>
                <w:i/>
                <w:sz w:val="20"/>
                <w:lang w:val="fr-BE"/>
              </w:rPr>
              <w:t>texte politique, social, économique et environnemen</w:t>
            </w:r>
            <w:r w:rsidR="006B0A96" w:rsidRPr="00586939">
              <w:rPr>
                <w:rFonts w:ascii="Arial" w:hAnsi="Arial" w:cs="Arial"/>
                <w:i/>
                <w:sz w:val="20"/>
                <w:lang w:val="fr-BE"/>
              </w:rPr>
              <w:t>-</w:t>
            </w:r>
            <w:r w:rsidRPr="00586939">
              <w:rPr>
                <w:rFonts w:ascii="Arial" w:hAnsi="Arial" w:cs="Arial"/>
                <w:i/>
                <w:sz w:val="20"/>
                <w:lang w:val="fr-BE"/>
              </w:rPr>
              <w:t xml:space="preserve">tal mondial, qui résulte des interventions de l’ensemble des acteurs et parties prenantes concernés. </w:t>
            </w:r>
          </w:p>
          <w:p w:rsidR="005155D9" w:rsidRPr="00586939" w:rsidRDefault="005155D9" w:rsidP="00021F15">
            <w:pPr>
              <w:autoSpaceDE w:val="0"/>
              <w:autoSpaceDN w:val="0"/>
              <w:adjustRightInd w:val="0"/>
              <w:rPr>
                <w:rFonts w:ascii="Arial" w:hAnsi="Arial" w:cs="Arial"/>
                <w:i/>
                <w:sz w:val="20"/>
                <w:lang w:val="fr-BE"/>
              </w:rPr>
            </w:pP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Variable quantitative et/ou qualita</w:t>
            </w:r>
            <w:r w:rsidR="006B0A96" w:rsidRPr="00586939">
              <w:rPr>
                <w:rFonts w:ascii="Arial" w:hAnsi="Arial" w:cs="Arial"/>
                <w:i/>
                <w:sz w:val="20"/>
                <w:lang w:val="fr-BE"/>
              </w:rPr>
              <w:t>-</w:t>
            </w:r>
            <w:r w:rsidRPr="00586939">
              <w:rPr>
                <w:rFonts w:ascii="Arial" w:hAnsi="Arial" w:cs="Arial"/>
                <w:i/>
                <w:sz w:val="20"/>
                <w:lang w:val="fr-BE"/>
              </w:rPr>
              <w:t>tive qui permet de mesurer de manière simple et fiable si une action a pro</w:t>
            </w:r>
            <w:r w:rsidR="006B0A96" w:rsidRPr="00586939">
              <w:rPr>
                <w:rFonts w:ascii="Arial" w:hAnsi="Arial" w:cs="Arial"/>
                <w:i/>
                <w:sz w:val="20"/>
                <w:lang w:val="fr-BE"/>
              </w:rPr>
              <w:t>-</w:t>
            </w:r>
            <w:r w:rsidRPr="00586939">
              <w:rPr>
                <w:rFonts w:ascii="Arial" w:hAnsi="Arial" w:cs="Arial"/>
                <w:i/>
                <w:sz w:val="20"/>
                <w:lang w:val="fr-BE"/>
              </w:rPr>
              <w:t xml:space="preserve">duit le résultat attendu. </w:t>
            </w: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À présenter, s’il y a lieu, ventilée par sexe, âge, zone urbaine/rurale, handicap, etc.</w:t>
            </w: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La valeur, avant l’inter</w:t>
            </w:r>
            <w:r w:rsidR="006B0A96" w:rsidRPr="00586939">
              <w:rPr>
                <w:rFonts w:ascii="Arial" w:hAnsi="Arial" w:cs="Arial"/>
                <w:i/>
                <w:sz w:val="20"/>
                <w:lang w:val="fr-BE"/>
              </w:rPr>
              <w:t>-</w:t>
            </w:r>
            <w:r w:rsidRPr="00586939">
              <w:rPr>
                <w:rFonts w:ascii="Arial" w:hAnsi="Arial" w:cs="Arial"/>
                <w:i/>
                <w:sz w:val="20"/>
                <w:lang w:val="fr-BE"/>
              </w:rPr>
              <w:t>vention, du ou des indicateurs à l’aune duquel/</w:t>
            </w:r>
            <w:r w:rsidR="006B0A96" w:rsidRPr="00586939">
              <w:rPr>
                <w:rFonts w:ascii="Arial" w:hAnsi="Arial" w:cs="Arial"/>
                <w:i/>
                <w:sz w:val="20"/>
                <w:lang w:val="fr-BE"/>
              </w:rPr>
              <w:br/>
            </w:r>
            <w:r w:rsidRPr="00586939">
              <w:rPr>
                <w:rFonts w:ascii="Arial" w:hAnsi="Arial" w:cs="Arial"/>
                <w:i/>
                <w:sz w:val="20"/>
                <w:lang w:val="fr-BE"/>
              </w:rPr>
              <w:t>desquels l’évolution peut être évaluée ou des comparaisons peuvent être effectuées</w:t>
            </w: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(idéalement, à tirer de la stratégie du partenaire)</w:t>
            </w: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La valeur finale visée du ou des indicateurs.</w:t>
            </w: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(Idéalement, à tirer de la stratégie du partenaire)</w:t>
            </w: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La dernière valeur disponible du ou des indicateurs au moment de l’établissement du rapport</w:t>
            </w:r>
          </w:p>
          <w:p w:rsidR="005155D9" w:rsidRPr="00586939" w:rsidRDefault="005155D9" w:rsidP="006B0A96">
            <w:pPr>
              <w:autoSpaceDE w:val="0"/>
              <w:autoSpaceDN w:val="0"/>
              <w:adjustRightInd w:val="0"/>
              <w:rPr>
                <w:rFonts w:ascii="Arial" w:hAnsi="Arial" w:cs="Arial"/>
                <w:i/>
                <w:sz w:val="20"/>
                <w:lang w:val="fr-BE"/>
              </w:rPr>
            </w:pPr>
            <w:r w:rsidRPr="00586939">
              <w:rPr>
                <w:rFonts w:ascii="Arial" w:hAnsi="Arial" w:cs="Arial"/>
                <w:i/>
                <w:sz w:val="20"/>
                <w:lang w:val="fr-BE"/>
              </w:rPr>
              <w:t>(* à mettre à jour dans les rapports d'avancement et le rapport final)</w:t>
            </w:r>
          </w:p>
        </w:tc>
        <w:tc>
          <w:tcPr>
            <w:tcW w:w="0" w:type="auto"/>
          </w:tcPr>
          <w:p w:rsidR="005155D9" w:rsidRPr="00586939" w:rsidRDefault="005155D9" w:rsidP="00021F15">
            <w:pPr>
              <w:autoSpaceDE w:val="0"/>
              <w:autoSpaceDN w:val="0"/>
              <w:adjustRightInd w:val="0"/>
              <w:rPr>
                <w:rFonts w:ascii="Arial" w:hAnsi="Arial" w:cs="Arial"/>
                <w:i/>
                <w:sz w:val="20"/>
                <w:lang w:val="fr-BE"/>
              </w:rPr>
            </w:pPr>
          </w:p>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Idéalement, à tirer de la stratégie du partenaire</w:t>
            </w:r>
          </w:p>
        </w:tc>
        <w:tc>
          <w:tcPr>
            <w:tcW w:w="0" w:type="auto"/>
            <w:shd w:val="clear" w:color="auto" w:fill="D9D9D9"/>
          </w:tcPr>
          <w:p w:rsidR="005155D9" w:rsidRPr="00586939" w:rsidRDefault="005155D9" w:rsidP="00021F15">
            <w:pPr>
              <w:ind w:left="34"/>
              <w:rPr>
                <w:rFonts w:ascii="Arial" w:hAnsi="Arial" w:cs="Arial"/>
                <w:i/>
                <w:sz w:val="20"/>
                <w:lang w:val="fr-BE"/>
              </w:rPr>
            </w:pPr>
          </w:p>
          <w:p w:rsidR="005155D9" w:rsidRPr="00586939" w:rsidRDefault="005155D9" w:rsidP="00021F15">
            <w:pPr>
              <w:rPr>
                <w:rFonts w:ascii="Arial" w:hAnsi="Arial" w:cs="Arial"/>
                <w:i/>
                <w:sz w:val="20"/>
                <w:lang w:val="fr-BE"/>
              </w:rPr>
            </w:pPr>
            <w:r w:rsidRPr="00586939">
              <w:rPr>
                <w:rFonts w:ascii="Arial" w:hAnsi="Arial" w:cs="Arial"/>
                <w:i/>
                <w:sz w:val="20"/>
                <w:lang w:val="fr-BE"/>
              </w:rPr>
              <w:t>Sans objet</w:t>
            </w:r>
          </w:p>
        </w:tc>
      </w:tr>
      <w:tr w:rsidR="005155D9" w:rsidRPr="00586939" w:rsidTr="00AB43A7">
        <w:trPr>
          <w:trHeight w:val="699"/>
        </w:trPr>
        <w:tc>
          <w:tcPr>
            <w:tcW w:w="0" w:type="auto"/>
            <w:tcBorders>
              <w:bottom w:val="single" w:sz="4" w:space="0" w:color="auto"/>
            </w:tcBorders>
            <w:shd w:val="clear" w:color="auto" w:fill="D9D9D9"/>
            <w:textDirection w:val="btLr"/>
          </w:tcPr>
          <w:p w:rsidR="005155D9" w:rsidRPr="00586939" w:rsidRDefault="005155D9" w:rsidP="00021F15">
            <w:pPr>
              <w:tabs>
                <w:tab w:val="left" w:pos="0"/>
                <w:tab w:val="left" w:pos="132"/>
              </w:tabs>
              <w:ind w:left="113" w:right="113" w:hanging="101"/>
              <w:jc w:val="center"/>
              <w:rPr>
                <w:rFonts w:ascii="Arial" w:hAnsi="Arial" w:cs="Arial"/>
                <w:b/>
                <w:i/>
                <w:sz w:val="20"/>
                <w:lang w:val="fr-BE"/>
              </w:rPr>
            </w:pPr>
            <w:r w:rsidRPr="00586939">
              <w:rPr>
                <w:rFonts w:ascii="Arial" w:hAnsi="Arial" w:cs="Arial"/>
                <w:b/>
                <w:i/>
                <w:sz w:val="20"/>
                <w:lang w:val="fr-BE"/>
              </w:rPr>
              <w:t>Effet(s) [Objectif(s) spécifique(s)]</w:t>
            </w:r>
          </w:p>
        </w:tc>
        <w:tc>
          <w:tcPr>
            <w:tcW w:w="0" w:type="auto"/>
            <w:tcBorders>
              <w:bottom w:val="single" w:sz="4" w:space="0" w:color="auto"/>
            </w:tcBorders>
            <w:shd w:val="clear" w:color="auto" w:fill="auto"/>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Principal effet à moyen terme de l’interven</w:t>
            </w:r>
            <w:r w:rsidR="006B0A96" w:rsidRPr="00586939">
              <w:rPr>
                <w:rFonts w:ascii="Arial" w:hAnsi="Arial" w:cs="Arial"/>
                <w:i/>
                <w:sz w:val="20"/>
                <w:lang w:val="fr-BE"/>
              </w:rPr>
              <w:t>-</w:t>
            </w:r>
            <w:r w:rsidRPr="00586939">
              <w:rPr>
                <w:rFonts w:ascii="Arial" w:hAnsi="Arial" w:cs="Arial"/>
                <w:i/>
                <w:sz w:val="20"/>
                <w:lang w:val="fr-BE"/>
              </w:rPr>
              <w:t>tion, portant essentiellement sur les change</w:t>
            </w:r>
            <w:r w:rsidR="006B0A96" w:rsidRPr="00586939">
              <w:rPr>
                <w:rFonts w:ascii="Arial" w:hAnsi="Arial" w:cs="Arial"/>
                <w:i/>
                <w:sz w:val="20"/>
                <w:lang w:val="fr-BE"/>
              </w:rPr>
              <w:t>-</w:t>
            </w:r>
            <w:r w:rsidRPr="00586939">
              <w:rPr>
                <w:rFonts w:ascii="Arial" w:hAnsi="Arial" w:cs="Arial"/>
                <w:i/>
                <w:sz w:val="20"/>
                <w:lang w:val="fr-BE"/>
              </w:rPr>
              <w:t>ments de comportement et les change</w:t>
            </w:r>
            <w:r w:rsidR="006B0A96" w:rsidRPr="00586939">
              <w:rPr>
                <w:rFonts w:ascii="Arial" w:hAnsi="Arial" w:cs="Arial"/>
                <w:i/>
                <w:sz w:val="20"/>
                <w:lang w:val="fr-BE"/>
              </w:rPr>
              <w:t>-</w:t>
            </w:r>
            <w:r w:rsidRPr="00586939">
              <w:rPr>
                <w:rFonts w:ascii="Arial" w:hAnsi="Arial" w:cs="Arial"/>
                <w:i/>
                <w:sz w:val="20"/>
                <w:lang w:val="fr-BE"/>
              </w:rPr>
              <w:t>ments institu</w:t>
            </w:r>
            <w:r w:rsidR="006B0A96" w:rsidRPr="00586939">
              <w:rPr>
                <w:rFonts w:ascii="Arial" w:hAnsi="Arial" w:cs="Arial"/>
                <w:i/>
                <w:sz w:val="20"/>
                <w:lang w:val="fr-BE"/>
              </w:rPr>
              <w:t>-</w:t>
            </w:r>
            <w:r w:rsidRPr="00586939">
              <w:rPr>
                <w:rFonts w:ascii="Arial" w:hAnsi="Arial" w:cs="Arial"/>
                <w:i/>
                <w:sz w:val="20"/>
                <w:lang w:val="fr-BE"/>
              </w:rPr>
              <w:t xml:space="preserve">tionnels </w:t>
            </w:r>
            <w:r w:rsidRPr="00586939">
              <w:rPr>
                <w:rFonts w:ascii="Arial" w:hAnsi="Arial" w:cs="Arial"/>
                <w:i/>
                <w:sz w:val="20"/>
                <w:u w:val="single"/>
                <w:lang w:val="fr-BE"/>
              </w:rPr>
              <w:t>résultant de l’action</w:t>
            </w:r>
          </w:p>
          <w:p w:rsidR="005155D9" w:rsidRPr="00586939" w:rsidRDefault="005155D9" w:rsidP="00021F15">
            <w:pPr>
              <w:pStyle w:val="Default"/>
              <w:rPr>
                <w:rFonts w:ascii="Arial" w:hAnsi="Arial" w:cs="Arial"/>
                <w:i/>
                <w:sz w:val="20"/>
                <w:szCs w:val="20"/>
                <w:lang w:val="fr-BE"/>
              </w:rPr>
            </w:pPr>
            <w:r w:rsidRPr="00586939">
              <w:rPr>
                <w:rFonts w:ascii="Arial" w:hAnsi="Arial" w:cs="Arial"/>
                <w:i/>
                <w:sz w:val="20"/>
                <w:lang w:val="fr-BE"/>
              </w:rPr>
              <w:t xml:space="preserve"> (il est de bonne pratique de ne définir qu'un seul objectif spécifique; toutefois, pour les </w:t>
            </w:r>
            <w:r w:rsidRPr="00586939">
              <w:rPr>
                <w:rFonts w:ascii="Arial" w:hAnsi="Arial" w:cs="Arial"/>
                <w:i/>
                <w:sz w:val="20"/>
                <w:lang w:val="fr-BE"/>
              </w:rPr>
              <w:lastRenderedPageBreak/>
              <w:t xml:space="preserve">actions de grande ampleur, d’autres effets à court terme peuvent être inclus ici) </w:t>
            </w:r>
          </w:p>
        </w:tc>
        <w:tc>
          <w:tcPr>
            <w:tcW w:w="0" w:type="auto"/>
            <w:tcBorders>
              <w:bottom w:val="single" w:sz="4" w:space="0" w:color="auto"/>
            </w:tcBorders>
            <w:shd w:val="clear" w:color="auto" w:fill="auto"/>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lastRenderedPageBreak/>
              <w:t xml:space="preserve">(voir la définition ci-dessus) </w:t>
            </w:r>
          </w:p>
          <w:p w:rsidR="005155D9" w:rsidRPr="00586939" w:rsidRDefault="005155D9" w:rsidP="00021F15">
            <w:pPr>
              <w:autoSpaceDE w:val="0"/>
              <w:autoSpaceDN w:val="0"/>
              <w:adjustRightInd w:val="0"/>
              <w:rPr>
                <w:rFonts w:ascii="Arial" w:hAnsi="Arial" w:cs="Arial"/>
                <w:i/>
                <w:sz w:val="20"/>
                <w:lang w:val="fr-BE"/>
              </w:rPr>
            </w:pPr>
          </w:p>
        </w:tc>
        <w:tc>
          <w:tcPr>
            <w:tcW w:w="0" w:type="auto"/>
            <w:tcBorders>
              <w:bottom w:val="single" w:sz="4" w:space="0" w:color="auto"/>
            </w:tcBorders>
            <w:shd w:val="clear" w:color="auto" w:fill="auto"/>
          </w:tcPr>
          <w:p w:rsidR="005155D9" w:rsidRPr="00586939" w:rsidRDefault="005155D9" w:rsidP="00021F15">
            <w:pPr>
              <w:rPr>
                <w:rFonts w:ascii="Arial" w:hAnsi="Arial" w:cs="Arial"/>
                <w:i/>
                <w:sz w:val="20"/>
                <w:lang w:val="fr-BE"/>
              </w:rPr>
            </w:pPr>
            <w:r w:rsidRPr="00586939">
              <w:rPr>
                <w:rFonts w:ascii="Arial" w:hAnsi="Arial" w:cs="Arial"/>
                <w:i/>
                <w:sz w:val="20"/>
                <w:lang w:val="fr-BE"/>
              </w:rPr>
              <w:t>La valeur, avant l’inter</w:t>
            </w:r>
            <w:r w:rsidR="006B0A96" w:rsidRPr="00586939">
              <w:rPr>
                <w:rFonts w:ascii="Arial" w:hAnsi="Arial" w:cs="Arial"/>
                <w:i/>
                <w:sz w:val="20"/>
                <w:lang w:val="fr-BE"/>
              </w:rPr>
              <w:t>-</w:t>
            </w:r>
            <w:r w:rsidRPr="00586939">
              <w:rPr>
                <w:rFonts w:ascii="Arial" w:hAnsi="Arial" w:cs="Arial"/>
                <w:i/>
                <w:sz w:val="20"/>
                <w:lang w:val="fr-BE"/>
              </w:rPr>
              <w:t>vention, du ou des indicateurs à l’aune duquel/</w:t>
            </w:r>
            <w:r w:rsidR="006B0A96" w:rsidRPr="00586939">
              <w:rPr>
                <w:rFonts w:ascii="Arial" w:hAnsi="Arial" w:cs="Arial"/>
                <w:i/>
                <w:sz w:val="20"/>
                <w:lang w:val="fr-BE"/>
              </w:rPr>
              <w:br/>
            </w:r>
            <w:r w:rsidRPr="00586939">
              <w:rPr>
                <w:rFonts w:ascii="Arial" w:hAnsi="Arial" w:cs="Arial"/>
                <w:i/>
                <w:sz w:val="20"/>
                <w:lang w:val="fr-BE"/>
              </w:rPr>
              <w:t>desquels l’évolution peut être évaluée ou des comparaisons peuvent être effectuées.</w:t>
            </w:r>
          </w:p>
        </w:tc>
        <w:tc>
          <w:tcPr>
            <w:tcW w:w="0" w:type="auto"/>
            <w:tcBorders>
              <w:bottom w:val="single" w:sz="4" w:space="0" w:color="auto"/>
            </w:tcBorders>
            <w:shd w:val="clear" w:color="auto" w:fill="auto"/>
          </w:tcPr>
          <w:p w:rsidR="005155D9" w:rsidRPr="00586939" w:rsidRDefault="005155D9" w:rsidP="00021F15">
            <w:pPr>
              <w:rPr>
                <w:rFonts w:ascii="Arial" w:hAnsi="Arial" w:cs="Arial"/>
                <w:i/>
                <w:sz w:val="20"/>
                <w:lang w:val="fr-BE"/>
              </w:rPr>
            </w:pPr>
            <w:r w:rsidRPr="00586939">
              <w:rPr>
                <w:rFonts w:ascii="Arial" w:hAnsi="Arial" w:cs="Arial"/>
                <w:i/>
                <w:sz w:val="20"/>
                <w:lang w:val="fr-BE"/>
              </w:rPr>
              <w:t>La valeur finale visée du ou des indicateurs</w:t>
            </w:r>
          </w:p>
        </w:tc>
        <w:tc>
          <w:tcPr>
            <w:tcW w:w="0" w:type="auto"/>
            <w:tcBorders>
              <w:bottom w:val="single" w:sz="4" w:space="0" w:color="auto"/>
            </w:tcBorders>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autoSpaceDE w:val="0"/>
              <w:autoSpaceDN w:val="0"/>
              <w:adjustRightInd w:val="0"/>
              <w:rPr>
                <w:rFonts w:ascii="Arial" w:hAnsi="Arial" w:cs="Arial"/>
                <w:i/>
                <w:sz w:val="20"/>
                <w:lang w:val="fr-BE"/>
              </w:rPr>
            </w:pPr>
          </w:p>
        </w:tc>
        <w:tc>
          <w:tcPr>
            <w:tcW w:w="0" w:type="auto"/>
            <w:tcBorders>
              <w:bottom w:val="single" w:sz="4" w:space="0" w:color="auto"/>
            </w:tcBorders>
            <w:shd w:val="clear" w:color="auto" w:fill="auto"/>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Sources d’informa</w:t>
            </w:r>
            <w:r w:rsidR="00EE58B7" w:rsidRPr="00586939">
              <w:rPr>
                <w:rFonts w:ascii="Arial" w:hAnsi="Arial" w:cs="Arial"/>
                <w:i/>
                <w:sz w:val="20"/>
                <w:lang w:val="fr-BE"/>
              </w:rPr>
              <w:t>-</w:t>
            </w:r>
            <w:r w:rsidRPr="00586939">
              <w:rPr>
                <w:rFonts w:ascii="Arial" w:hAnsi="Arial" w:cs="Arial"/>
                <w:i/>
                <w:sz w:val="20"/>
                <w:lang w:val="fr-BE"/>
              </w:rPr>
              <w:t>tions et méthodes utilisées pour recueillir les données et faire rapport (qui, quand, à quelle fréquence, etc.).</w:t>
            </w:r>
          </w:p>
        </w:tc>
        <w:tc>
          <w:tcPr>
            <w:tcW w:w="0" w:type="auto"/>
            <w:shd w:val="clear" w:color="auto" w:fill="auto"/>
          </w:tcPr>
          <w:p w:rsidR="005155D9" w:rsidRPr="00586939" w:rsidRDefault="005155D9" w:rsidP="00EE58B7">
            <w:pPr>
              <w:autoSpaceDE w:val="0"/>
              <w:autoSpaceDN w:val="0"/>
              <w:adjustRightInd w:val="0"/>
              <w:rPr>
                <w:rFonts w:ascii="Arial" w:hAnsi="Arial" w:cs="Arial"/>
                <w:i/>
                <w:sz w:val="20"/>
                <w:lang w:val="fr-BE"/>
              </w:rPr>
            </w:pPr>
            <w:r w:rsidRPr="00586939">
              <w:rPr>
                <w:rFonts w:ascii="Arial" w:hAnsi="Arial" w:cs="Arial"/>
                <w:i/>
                <w:sz w:val="20"/>
                <w:lang w:val="fr-BE"/>
              </w:rPr>
              <w:t>Facteurs qui ne relèvent pas de la gestion du projet mais sont suscep</w:t>
            </w:r>
            <w:r w:rsidR="00EE58B7" w:rsidRPr="00586939">
              <w:rPr>
                <w:rFonts w:ascii="Arial" w:hAnsi="Arial" w:cs="Arial"/>
                <w:i/>
                <w:sz w:val="20"/>
                <w:lang w:val="fr-BE"/>
              </w:rPr>
              <w:t>tibles</w:t>
            </w:r>
            <w:r w:rsidRPr="00586939">
              <w:rPr>
                <w:rFonts w:ascii="Arial" w:hAnsi="Arial" w:cs="Arial"/>
                <w:i/>
                <w:sz w:val="20"/>
                <w:lang w:val="fr-BE"/>
              </w:rPr>
              <w:t xml:space="preserve"> d’avoir une incidence sur le lien entre l’impact et l’effet/les effets.</w:t>
            </w:r>
          </w:p>
        </w:tc>
      </w:tr>
      <w:tr w:rsidR="005155D9" w:rsidRPr="00586939" w:rsidTr="00AB43A7">
        <w:trPr>
          <w:trHeight w:val="2096"/>
        </w:trPr>
        <w:tc>
          <w:tcPr>
            <w:tcW w:w="0" w:type="auto"/>
            <w:shd w:val="clear" w:color="auto" w:fill="D9D9D9"/>
            <w:textDirection w:val="btLr"/>
          </w:tcPr>
          <w:p w:rsidR="005155D9" w:rsidRPr="00586939" w:rsidRDefault="005155D9" w:rsidP="00021F15">
            <w:pPr>
              <w:tabs>
                <w:tab w:val="left" w:pos="0"/>
                <w:tab w:val="left" w:pos="132"/>
              </w:tabs>
              <w:ind w:left="113" w:right="113" w:hanging="101"/>
              <w:jc w:val="center"/>
              <w:rPr>
                <w:rFonts w:ascii="Arial" w:hAnsi="Arial" w:cs="Arial"/>
                <w:b/>
                <w:i/>
                <w:sz w:val="20"/>
                <w:lang w:val="fr-BE"/>
              </w:rPr>
            </w:pPr>
            <w:r w:rsidRPr="00586939">
              <w:rPr>
                <w:rFonts w:ascii="Arial" w:hAnsi="Arial" w:cs="Arial"/>
                <w:b/>
                <w:i/>
                <w:sz w:val="20"/>
                <w:lang w:val="fr-BE"/>
              </w:rPr>
              <w:t>Produits</w:t>
            </w: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Les produits direct</w:t>
            </w:r>
            <w:r w:rsidR="00100D4E" w:rsidRPr="00586939">
              <w:rPr>
                <w:rFonts w:ascii="Arial" w:hAnsi="Arial" w:cs="Arial"/>
                <w:i/>
                <w:sz w:val="20"/>
                <w:lang w:val="fr-BE"/>
              </w:rPr>
              <w:t>s</w:t>
            </w:r>
            <w:r w:rsidRPr="00586939">
              <w:rPr>
                <w:rFonts w:ascii="Arial" w:hAnsi="Arial" w:cs="Arial"/>
                <w:i/>
                <w:sz w:val="20"/>
                <w:lang w:val="fr-BE"/>
              </w:rPr>
              <w:t xml:space="preserve">/concrets (infrastructure, biens et services) issus de l’intervention </w:t>
            </w:r>
          </w:p>
          <w:p w:rsidR="005155D9" w:rsidRPr="00586939" w:rsidRDefault="005155D9" w:rsidP="00EE58B7">
            <w:pPr>
              <w:autoSpaceDE w:val="0"/>
              <w:autoSpaceDN w:val="0"/>
              <w:adjustRightInd w:val="0"/>
              <w:rPr>
                <w:rFonts w:ascii="Arial" w:hAnsi="Arial" w:cs="Arial"/>
                <w:i/>
                <w:strike/>
                <w:sz w:val="20"/>
                <w:lang w:val="fr-BE"/>
              </w:rPr>
            </w:pPr>
            <w:r w:rsidRPr="00586939">
              <w:rPr>
                <w:rFonts w:ascii="Arial" w:hAnsi="Arial" w:cs="Arial"/>
                <w:i/>
                <w:sz w:val="20"/>
                <w:lang w:val="fr-BE"/>
              </w:rPr>
              <w:t>(*en principe, les produits devraient être mis en relation avec les résultats correspondants grâce à une numérotation claire)</w:t>
            </w: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autoSpaceDE w:val="0"/>
              <w:autoSpaceDN w:val="0"/>
              <w:adjustRightInd w:val="0"/>
              <w:rPr>
                <w:rFonts w:ascii="Arial" w:hAnsi="Arial" w:cs="Arial"/>
                <w:i/>
                <w:sz w:val="20"/>
                <w:lang w:val="fr-BE"/>
              </w:rPr>
            </w:pP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rPr>
                <w:rFonts w:ascii="Arial" w:hAnsi="Arial" w:cs="Arial"/>
                <w:i/>
                <w:sz w:val="20"/>
                <w:lang w:val="fr-BE"/>
              </w:rPr>
            </w:pP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rPr>
                <w:rFonts w:ascii="Arial" w:hAnsi="Arial" w:cs="Arial"/>
                <w:i/>
                <w:sz w:val="20"/>
                <w:lang w:val="fr-BE"/>
              </w:rPr>
            </w:pP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rPr>
                <w:rFonts w:ascii="Arial" w:hAnsi="Arial" w:cs="Arial"/>
                <w:i/>
                <w:sz w:val="20"/>
                <w:lang w:val="fr-BE"/>
              </w:rPr>
            </w:pPr>
          </w:p>
        </w:tc>
        <w:tc>
          <w:tcPr>
            <w:tcW w:w="0" w:type="auto"/>
            <w:shd w:val="clear" w:color="auto" w:fill="FFFFFF"/>
          </w:tcPr>
          <w:p w:rsidR="005155D9" w:rsidRPr="00586939" w:rsidRDefault="005155D9" w:rsidP="00021F15">
            <w:pPr>
              <w:autoSpaceDE w:val="0"/>
              <w:autoSpaceDN w:val="0"/>
              <w:adjustRightInd w:val="0"/>
              <w:rPr>
                <w:rFonts w:ascii="Arial" w:hAnsi="Arial" w:cs="Arial"/>
                <w:i/>
                <w:sz w:val="20"/>
                <w:lang w:val="fr-BE"/>
              </w:rPr>
            </w:pPr>
            <w:r w:rsidRPr="00586939">
              <w:rPr>
                <w:rFonts w:ascii="Arial" w:hAnsi="Arial" w:cs="Arial"/>
                <w:i/>
                <w:sz w:val="20"/>
                <w:lang w:val="fr-BE"/>
              </w:rPr>
              <w:t xml:space="preserve">(voir ci-dessus) </w:t>
            </w:r>
          </w:p>
          <w:p w:rsidR="005155D9" w:rsidRPr="00586939" w:rsidRDefault="005155D9" w:rsidP="00021F15">
            <w:pPr>
              <w:rPr>
                <w:rFonts w:ascii="Arial" w:hAnsi="Arial" w:cs="Arial"/>
                <w:i/>
                <w:sz w:val="20"/>
                <w:lang w:val="fr-BE"/>
              </w:rPr>
            </w:pPr>
          </w:p>
        </w:tc>
        <w:tc>
          <w:tcPr>
            <w:tcW w:w="0" w:type="auto"/>
            <w:shd w:val="clear" w:color="auto" w:fill="auto"/>
          </w:tcPr>
          <w:p w:rsidR="005155D9" w:rsidRPr="00586939" w:rsidRDefault="005155D9" w:rsidP="00EE58B7">
            <w:pPr>
              <w:autoSpaceDE w:val="0"/>
              <w:autoSpaceDN w:val="0"/>
              <w:adjustRightInd w:val="0"/>
              <w:rPr>
                <w:rFonts w:ascii="Arial" w:hAnsi="Arial" w:cs="Arial"/>
                <w:i/>
                <w:sz w:val="20"/>
                <w:lang w:val="fr-BE"/>
              </w:rPr>
            </w:pPr>
            <w:r w:rsidRPr="00586939">
              <w:rPr>
                <w:rFonts w:ascii="Arial" w:hAnsi="Arial" w:cs="Arial"/>
                <w:i/>
                <w:sz w:val="20"/>
                <w:lang w:val="fr-BE"/>
              </w:rPr>
              <w:t>Facteurs qui ne relèvent pas de la gestion du projet mais sont suscepti</w:t>
            </w:r>
            <w:r w:rsidR="00EE58B7" w:rsidRPr="00586939">
              <w:rPr>
                <w:rFonts w:ascii="Arial" w:hAnsi="Arial" w:cs="Arial"/>
                <w:i/>
                <w:sz w:val="20"/>
                <w:lang w:val="fr-BE"/>
              </w:rPr>
              <w:t>-</w:t>
            </w:r>
            <w:r w:rsidRPr="00586939">
              <w:rPr>
                <w:rFonts w:ascii="Arial" w:hAnsi="Arial" w:cs="Arial"/>
                <w:i/>
                <w:sz w:val="20"/>
                <w:lang w:val="fr-BE"/>
              </w:rPr>
              <w:t>bles d’avoir une incidence sur le lien entre l’autre/les autres effet(s) et produits.</w:t>
            </w:r>
          </w:p>
        </w:tc>
      </w:tr>
    </w:tbl>
    <w:p w:rsidR="0018122F" w:rsidRDefault="00030799" w:rsidP="005155D9">
      <w:pPr>
        <w:rPr>
          <w:rFonts w:ascii="Arial" w:hAnsi="Arial" w:cs="Arial"/>
          <w:lang w:val="fr-BE"/>
        </w:rPr>
      </w:pPr>
      <w:r w:rsidRPr="00586939">
        <w:rPr>
          <w:rFonts w:ascii="Arial" w:hAnsi="Arial" w:cs="Arial"/>
          <w:lang w:val="fr-BE"/>
        </w:rPr>
        <w:t xml:space="preserve"> </w:t>
      </w:r>
    </w:p>
    <w:p w:rsidR="00A97ABC" w:rsidRDefault="00A97ABC" w:rsidP="005155D9">
      <w:pPr>
        <w:rPr>
          <w:rFonts w:ascii="Arial" w:hAnsi="Arial" w:cs="Arial"/>
          <w:lang w:val="fr-BE"/>
        </w:rPr>
      </w:pPr>
    </w:p>
    <w:p w:rsidR="00A97ABC" w:rsidRDefault="00A97ABC" w:rsidP="005155D9">
      <w:pPr>
        <w:rPr>
          <w:rFonts w:ascii="Arial" w:hAnsi="Arial" w:cs="Arial"/>
          <w:lang w:val="fr-BE"/>
        </w:rPr>
      </w:pPr>
    </w:p>
    <w:p w:rsidR="00A97ABC" w:rsidRDefault="00A97ABC" w:rsidP="005155D9">
      <w:pPr>
        <w:rPr>
          <w:rFonts w:ascii="Arial" w:hAnsi="Arial" w:cs="Arial"/>
          <w:lang w:val="fr-BE"/>
        </w:rPr>
      </w:pPr>
    </w:p>
    <w:p w:rsidR="00A97ABC" w:rsidRDefault="00A97ABC" w:rsidP="005155D9">
      <w:pPr>
        <w:rPr>
          <w:rFonts w:ascii="Arial" w:hAnsi="Arial" w:cs="Arial"/>
          <w:lang w:val="fr-BE"/>
        </w:rPr>
      </w:pPr>
    </w:p>
    <w:p w:rsidR="00A97ABC" w:rsidRDefault="00A97ABC" w:rsidP="005155D9">
      <w:pPr>
        <w:rPr>
          <w:rFonts w:ascii="Arial" w:hAnsi="Arial" w:cs="Arial"/>
          <w:lang w:val="fr-BE"/>
        </w:rPr>
      </w:pPr>
    </w:p>
    <w:p w:rsidR="00A97ABC" w:rsidRDefault="00A97ABC" w:rsidP="005155D9">
      <w:pPr>
        <w:rPr>
          <w:rFonts w:ascii="Arial" w:hAnsi="Arial" w:cs="Arial"/>
          <w:lang w:val="fr-BE"/>
        </w:rPr>
      </w:pPr>
    </w:p>
    <w:p w:rsidR="00A97ABC" w:rsidRPr="00586939" w:rsidRDefault="00A97ABC" w:rsidP="005155D9">
      <w:pPr>
        <w:rPr>
          <w:rFonts w:ascii="Arial" w:hAnsi="Arial" w:cs="Arial"/>
          <w:lang w:val="fr-BE"/>
        </w:rPr>
      </w:pPr>
    </w:p>
    <w:p w:rsidR="005155D9" w:rsidRPr="00586939" w:rsidRDefault="005155D9" w:rsidP="005155D9">
      <w:pPr>
        <w:pStyle w:val="Paragraphedeliste"/>
        <w:ind w:left="0"/>
        <w:rPr>
          <w:rFonts w:ascii="Arial" w:hAnsi="Arial" w:cs="Arial"/>
          <w:b/>
          <w:i/>
          <w:lang w:val="fr-BE"/>
        </w:rPr>
      </w:pPr>
      <w:r w:rsidRPr="00586939">
        <w:rPr>
          <w:rFonts w:ascii="Arial" w:hAnsi="Arial" w:cs="Arial"/>
          <w:b/>
          <w:i/>
          <w:lang w:val="fr-BE"/>
        </w:rPr>
        <w:t>Matrice des activités</w:t>
      </w:r>
    </w:p>
    <w:p w:rsidR="005155D9" w:rsidRPr="00586939" w:rsidRDefault="005155D9" w:rsidP="005155D9">
      <w:pPr>
        <w:pStyle w:val="Paragraphedeliste"/>
        <w:ind w:left="0"/>
        <w:rPr>
          <w:rFonts w:ascii="Arial" w:hAnsi="Arial" w:cs="Arial"/>
          <w:b/>
          <w:i/>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0295"/>
        <w:gridCol w:w="1640"/>
      </w:tblGrid>
      <w:tr w:rsidR="005155D9" w:rsidRPr="00586939" w:rsidTr="00021F15">
        <w:trPr>
          <w:cantSplit/>
          <w:trHeight w:val="558"/>
        </w:trPr>
        <w:tc>
          <w:tcPr>
            <w:tcW w:w="1077" w:type="pct"/>
            <w:shd w:val="clear" w:color="auto" w:fill="FFFFFF"/>
          </w:tcPr>
          <w:p w:rsidR="005155D9" w:rsidRPr="00586939" w:rsidRDefault="005155D9" w:rsidP="00021F15">
            <w:pPr>
              <w:spacing w:after="0"/>
              <w:rPr>
                <w:rFonts w:ascii="Arial" w:hAnsi="Arial" w:cs="Arial"/>
                <w:i/>
                <w:iCs/>
                <w:strike/>
                <w:sz w:val="20"/>
                <w:lang w:val="fr-BE"/>
              </w:rPr>
            </w:pPr>
            <w:r w:rsidRPr="00586939">
              <w:rPr>
                <w:rFonts w:ascii="Arial" w:hAnsi="Arial" w:cs="Arial"/>
                <w:i/>
                <w:sz w:val="20"/>
                <w:lang w:val="fr-BE"/>
              </w:rPr>
              <w:t xml:space="preserve">Quelles sont les activités-clés à mettre en œuvre pour parvenir aux produits recherchés? </w:t>
            </w:r>
          </w:p>
          <w:p w:rsidR="005155D9" w:rsidRPr="00586939" w:rsidRDefault="005155D9" w:rsidP="00021F15">
            <w:pPr>
              <w:spacing w:after="0"/>
              <w:rPr>
                <w:rFonts w:ascii="Arial" w:hAnsi="Arial" w:cs="Arial"/>
                <w:i/>
                <w:strike/>
                <w:sz w:val="20"/>
                <w:lang w:val="fr-BE"/>
              </w:rPr>
            </w:pPr>
          </w:p>
          <w:p w:rsidR="005155D9" w:rsidRPr="00586939" w:rsidRDefault="005155D9" w:rsidP="00021F15">
            <w:pPr>
              <w:spacing w:after="0"/>
              <w:rPr>
                <w:rFonts w:ascii="Arial" w:hAnsi="Arial" w:cs="Arial"/>
                <w:i/>
                <w:sz w:val="20"/>
                <w:lang w:val="fr-BE"/>
              </w:rPr>
            </w:pPr>
            <w:r w:rsidRPr="00586939">
              <w:rPr>
                <w:rFonts w:ascii="Arial" w:hAnsi="Arial" w:cs="Arial"/>
                <w:i/>
                <w:sz w:val="20"/>
                <w:lang w:val="fr-BE"/>
              </w:rPr>
              <w:t>(*en principe, les activités devraient être mises en relation avec le ou les produits correspon</w:t>
            </w:r>
            <w:r w:rsidR="00EE58B7" w:rsidRPr="00586939">
              <w:rPr>
                <w:rFonts w:ascii="Arial" w:hAnsi="Arial" w:cs="Arial"/>
                <w:i/>
                <w:sz w:val="20"/>
                <w:lang w:val="fr-BE"/>
              </w:rPr>
              <w:t>-</w:t>
            </w:r>
            <w:r w:rsidRPr="00586939">
              <w:rPr>
                <w:rFonts w:ascii="Arial" w:hAnsi="Arial" w:cs="Arial"/>
                <w:i/>
                <w:sz w:val="20"/>
                <w:lang w:val="fr-BE"/>
              </w:rPr>
              <w:t>dants grâce à une numérotation claire)</w:t>
            </w:r>
          </w:p>
        </w:tc>
        <w:tc>
          <w:tcPr>
            <w:tcW w:w="3384" w:type="pct"/>
            <w:shd w:val="clear" w:color="auto" w:fill="FFFFFF"/>
          </w:tcPr>
          <w:p w:rsidR="005155D9" w:rsidRPr="00586939" w:rsidRDefault="005155D9" w:rsidP="00021F15">
            <w:pPr>
              <w:spacing w:after="0"/>
              <w:rPr>
                <w:rFonts w:ascii="Arial" w:hAnsi="Arial" w:cs="Arial"/>
                <w:b/>
                <w:bCs/>
                <w:i/>
                <w:iCs/>
                <w:sz w:val="20"/>
                <w:lang w:val="fr-BE"/>
              </w:rPr>
            </w:pPr>
            <w:r w:rsidRPr="00586939">
              <w:rPr>
                <w:rFonts w:ascii="Arial" w:hAnsi="Arial" w:cs="Arial"/>
                <w:b/>
                <w:i/>
                <w:sz w:val="20"/>
                <w:lang w:val="fr-BE"/>
              </w:rPr>
              <w:t>Moyens</w:t>
            </w:r>
          </w:p>
          <w:p w:rsidR="005155D9" w:rsidRPr="00586939" w:rsidRDefault="005155D9" w:rsidP="00021F15">
            <w:pPr>
              <w:spacing w:after="0"/>
              <w:rPr>
                <w:rFonts w:ascii="Arial" w:hAnsi="Arial" w:cs="Arial"/>
                <w:i/>
                <w:iCs/>
                <w:sz w:val="20"/>
                <w:lang w:val="fr-BE"/>
              </w:rPr>
            </w:pPr>
            <w:r w:rsidRPr="00586939">
              <w:rPr>
                <w:rFonts w:ascii="Arial" w:hAnsi="Arial" w:cs="Arial"/>
                <w:i/>
                <w:sz w:val="20"/>
                <w:lang w:val="fr-BE"/>
              </w:rPr>
              <w:t xml:space="preserve">Quelles sont les ressources politiques, techniques, financières, humaines et matérielles nécessaires à la mise en œuvre de ces activités (personnel, équipements, fournitures, infrastructures opérationnelles, etc.)? </w:t>
            </w:r>
          </w:p>
          <w:p w:rsidR="005155D9" w:rsidRPr="00586939" w:rsidRDefault="005155D9" w:rsidP="00021F15">
            <w:pPr>
              <w:spacing w:after="0"/>
              <w:rPr>
                <w:rFonts w:ascii="Arial" w:hAnsi="Arial" w:cs="Arial"/>
                <w:b/>
                <w:bCs/>
                <w:i/>
                <w:iCs/>
                <w:sz w:val="20"/>
                <w:lang w:val="fr-BE"/>
              </w:rPr>
            </w:pPr>
          </w:p>
          <w:p w:rsidR="005155D9" w:rsidRPr="00586939" w:rsidRDefault="005155D9" w:rsidP="00021F15">
            <w:pPr>
              <w:spacing w:after="0"/>
              <w:rPr>
                <w:rFonts w:ascii="Arial" w:hAnsi="Arial" w:cs="Arial"/>
                <w:b/>
                <w:bCs/>
                <w:i/>
                <w:iCs/>
                <w:sz w:val="20"/>
                <w:lang w:val="fr-BE"/>
              </w:rPr>
            </w:pPr>
            <w:r w:rsidRPr="00586939">
              <w:rPr>
                <w:rFonts w:ascii="Arial" w:hAnsi="Arial" w:cs="Arial"/>
                <w:b/>
                <w:i/>
                <w:sz w:val="20"/>
                <w:lang w:val="fr-BE"/>
              </w:rPr>
              <w:t>Coûts</w:t>
            </w:r>
          </w:p>
          <w:p w:rsidR="005155D9" w:rsidRPr="00586939" w:rsidRDefault="005155D9" w:rsidP="00021F15">
            <w:pPr>
              <w:spacing w:after="0"/>
              <w:rPr>
                <w:rFonts w:ascii="Arial" w:hAnsi="Arial" w:cs="Arial"/>
                <w:i/>
                <w:sz w:val="20"/>
                <w:lang w:val="fr-BE"/>
              </w:rPr>
            </w:pPr>
            <w:r w:rsidRPr="00586939">
              <w:rPr>
                <w:rFonts w:ascii="Arial" w:hAnsi="Arial" w:cs="Arial"/>
                <w:i/>
                <w:sz w:val="20"/>
                <w:lang w:val="fr-BE"/>
              </w:rPr>
              <w:t>Quels sont les coûts de l’action? Leur nature? (ventilation dans le budget de l'action)</w:t>
            </w:r>
          </w:p>
        </w:tc>
        <w:tc>
          <w:tcPr>
            <w:tcW w:w="539" w:type="pct"/>
            <w:shd w:val="clear" w:color="auto" w:fill="auto"/>
          </w:tcPr>
          <w:p w:rsidR="005155D9" w:rsidRPr="00586939" w:rsidRDefault="005155D9" w:rsidP="00021F15">
            <w:pPr>
              <w:autoSpaceDE w:val="0"/>
              <w:autoSpaceDN w:val="0"/>
              <w:adjustRightInd w:val="0"/>
              <w:spacing w:after="0"/>
              <w:rPr>
                <w:rFonts w:ascii="Arial" w:hAnsi="Arial" w:cs="Arial"/>
                <w:b/>
                <w:i/>
                <w:sz w:val="20"/>
                <w:lang w:val="fr-BE"/>
              </w:rPr>
            </w:pPr>
            <w:r w:rsidRPr="00586939">
              <w:rPr>
                <w:rFonts w:ascii="Arial" w:hAnsi="Arial" w:cs="Arial"/>
                <w:b/>
                <w:i/>
                <w:sz w:val="20"/>
                <w:lang w:val="fr-BE"/>
              </w:rPr>
              <w:t>Hypothèses</w:t>
            </w:r>
          </w:p>
          <w:p w:rsidR="005155D9" w:rsidRPr="00586939" w:rsidRDefault="005155D9" w:rsidP="00021F15">
            <w:pPr>
              <w:autoSpaceDE w:val="0"/>
              <w:autoSpaceDN w:val="0"/>
              <w:adjustRightInd w:val="0"/>
              <w:spacing w:after="0"/>
              <w:rPr>
                <w:rFonts w:ascii="Arial" w:hAnsi="Arial" w:cs="Arial"/>
                <w:i/>
                <w:sz w:val="20"/>
                <w:lang w:val="fr-BE"/>
              </w:rPr>
            </w:pPr>
            <w:r w:rsidRPr="00586939">
              <w:rPr>
                <w:rFonts w:ascii="Arial" w:hAnsi="Arial" w:cs="Arial"/>
                <w:i/>
                <w:sz w:val="20"/>
                <w:lang w:val="fr-BE"/>
              </w:rPr>
              <w:t>Facteurs qui ne relèvent pas de la gestion du projet mais sont susceptibles d’avoir une incidence sur le lien entre les activités et les produits.</w:t>
            </w:r>
          </w:p>
        </w:tc>
      </w:tr>
    </w:tbl>
    <w:p w:rsidR="005155D9" w:rsidRPr="00586939" w:rsidRDefault="005155D9" w:rsidP="005155D9">
      <w:pPr>
        <w:rPr>
          <w:rFonts w:ascii="Arial" w:hAnsi="Arial" w:cs="Arial"/>
          <w:lang w:val="fr-BE"/>
        </w:rPr>
      </w:pPr>
    </w:p>
    <w:p w:rsidR="00E63667" w:rsidRPr="00586939" w:rsidRDefault="00E63667" w:rsidP="005155D9">
      <w:pPr>
        <w:rPr>
          <w:rFonts w:ascii="Arial" w:hAnsi="Arial" w:cs="Arial"/>
          <w:lang w:val="fr-BE"/>
        </w:rPr>
      </w:pPr>
      <w:r w:rsidRPr="00586939">
        <w:rPr>
          <w:rFonts w:ascii="Arial" w:hAnsi="Arial" w:cs="Arial"/>
          <w:highlight w:val="yellow"/>
          <w:lang w:val="fr-BE"/>
        </w:rPr>
        <w:t>]</w:t>
      </w:r>
    </w:p>
    <w:sectPr w:rsidR="00E63667" w:rsidRPr="00586939" w:rsidSect="00356106">
      <w:pgSz w:w="16840" w:h="11907" w:orient="landscape" w:code="9"/>
      <w:pgMar w:top="1134" w:right="993" w:bottom="851" w:left="851"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01" w:rsidRDefault="00CA4101">
      <w:r>
        <w:separator/>
      </w:r>
    </w:p>
  </w:endnote>
  <w:endnote w:type="continuationSeparator" w:id="0">
    <w:p w:rsidR="00CA4101" w:rsidRDefault="00CA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4B" w:rsidRDefault="007D21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36" w:rsidRDefault="00A774FE" w:rsidP="00AB43A7">
    <w:pPr>
      <w:pStyle w:val="Pieddepage"/>
      <w:tabs>
        <w:tab w:val="right" w:pos="9356"/>
      </w:tabs>
      <w:spacing w:before="120"/>
      <w:rPr>
        <w:rFonts w:ascii="Times New Roman" w:hAnsi="Times New Roman"/>
        <w:sz w:val="18"/>
        <w:szCs w:val="18"/>
      </w:rPr>
    </w:pPr>
    <w:r w:rsidRPr="00A774FE">
      <w:rPr>
        <w:rFonts w:cs="Arial"/>
        <w:sz w:val="18"/>
      </w:rPr>
      <w:t>BOAD – Méthodologie et Organisation – AC - 2020</w:t>
    </w:r>
    <w:r w:rsidR="00213377">
      <w:tab/>
    </w:r>
    <w:r w:rsidR="00213377">
      <w:rPr>
        <w:rFonts w:ascii="Times New Roman" w:hAnsi="Times New Roman"/>
        <w:sz w:val="18"/>
      </w:rPr>
      <w:t>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sidRPr="00031A94">
      <w:rPr>
        <w:rFonts w:ascii="Times New Roman" w:hAnsi="Times New Roman"/>
        <w:sz w:val="18"/>
        <w:szCs w:val="18"/>
      </w:rPr>
      <w:fldChar w:fldCharType="separate"/>
    </w:r>
    <w:r w:rsidR="004E2B8F">
      <w:rPr>
        <w:rFonts w:ascii="Times New Roman" w:hAnsi="Times New Roman"/>
        <w:noProof/>
        <w:sz w:val="18"/>
        <w:szCs w:val="18"/>
      </w:rPr>
      <w:t>3</w:t>
    </w:r>
    <w:r w:rsidR="00A37B36" w:rsidRPr="00031A94">
      <w:rPr>
        <w:rFonts w:ascii="Times New Roman" w:hAnsi="Times New Roman"/>
        <w:sz w:val="18"/>
        <w:szCs w:val="18"/>
      </w:rPr>
      <w:fldChar w:fldCharType="end"/>
    </w:r>
    <w:r w:rsidR="00213377">
      <w:rPr>
        <w:rFonts w:ascii="Times New Roman" w:hAnsi="Times New Roman"/>
        <w:sz w:val="18"/>
      </w:rPr>
      <w:t xml:space="preserve"> sur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sidRPr="00031A94">
      <w:rPr>
        <w:rFonts w:ascii="Times New Roman" w:hAnsi="Times New Roman"/>
        <w:sz w:val="18"/>
        <w:szCs w:val="18"/>
      </w:rPr>
      <w:fldChar w:fldCharType="separate"/>
    </w:r>
    <w:r w:rsidR="004E2B8F">
      <w:rPr>
        <w:rFonts w:ascii="Times New Roman" w:hAnsi="Times New Roman"/>
        <w:noProof/>
        <w:sz w:val="18"/>
        <w:szCs w:val="18"/>
      </w:rPr>
      <w:t>7</w:t>
    </w:r>
    <w:r w:rsidR="00A37B36" w:rsidRPr="00031A94">
      <w:rPr>
        <w:rFonts w:ascii="Times New Roman" w:hAnsi="Times New Roman"/>
        <w:sz w:val="18"/>
        <w:szCs w:val="18"/>
      </w:rPr>
      <w:fldChar w:fldCharType="end"/>
    </w:r>
  </w:p>
  <w:p w:rsidR="00A37B36" w:rsidRPr="006F6B4E" w:rsidRDefault="00A37B36" w:rsidP="00A37B36">
    <w:pPr>
      <w:pStyle w:val="Pieddepage"/>
      <w:tabs>
        <w:tab w:val="right" w:pos="9356"/>
      </w:tabs>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Default="00A774FE" w:rsidP="00541D43">
    <w:pPr>
      <w:pStyle w:val="Pieddepage"/>
      <w:tabs>
        <w:tab w:val="right" w:pos="9356"/>
      </w:tabs>
      <w:rPr>
        <w:rFonts w:ascii="Times New Roman" w:hAnsi="Times New Roman"/>
        <w:sz w:val="18"/>
        <w:szCs w:val="18"/>
      </w:rPr>
    </w:pPr>
    <w:r w:rsidRPr="00A774FE">
      <w:rPr>
        <w:rFonts w:cs="Arial"/>
        <w:sz w:val="18"/>
      </w:rPr>
      <w:t>BOAD – Méthodologie et Organisation – AC - 2020</w:t>
    </w:r>
    <w:r w:rsidR="00213377">
      <w:tab/>
    </w:r>
    <w:r w:rsidR="00213377">
      <w:rPr>
        <w:rFonts w:ascii="Times New Roman" w:hAnsi="Times New Roman"/>
        <w:sz w:val="18"/>
      </w:rPr>
      <w:t>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sidRPr="00031A94">
      <w:rPr>
        <w:rFonts w:ascii="Times New Roman" w:hAnsi="Times New Roman"/>
        <w:sz w:val="18"/>
        <w:szCs w:val="18"/>
      </w:rPr>
      <w:fldChar w:fldCharType="separate"/>
    </w:r>
    <w:r w:rsidR="004E2B8F">
      <w:rPr>
        <w:rFonts w:ascii="Times New Roman" w:hAnsi="Times New Roman"/>
        <w:noProof/>
        <w:sz w:val="18"/>
        <w:szCs w:val="18"/>
      </w:rPr>
      <w:t>1</w:t>
    </w:r>
    <w:r w:rsidR="000F50E0" w:rsidRPr="00031A94">
      <w:rPr>
        <w:rFonts w:ascii="Times New Roman" w:hAnsi="Times New Roman"/>
        <w:sz w:val="18"/>
        <w:szCs w:val="18"/>
      </w:rPr>
      <w:fldChar w:fldCharType="end"/>
    </w:r>
    <w:r w:rsidR="00213377">
      <w:rPr>
        <w:rFonts w:ascii="Times New Roman" w:hAnsi="Times New Roman"/>
        <w:sz w:val="18"/>
      </w:rPr>
      <w:t xml:space="preserve"> sur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sidRPr="00031A94">
      <w:rPr>
        <w:rFonts w:ascii="Times New Roman" w:hAnsi="Times New Roman"/>
        <w:sz w:val="18"/>
        <w:szCs w:val="18"/>
      </w:rPr>
      <w:fldChar w:fldCharType="separate"/>
    </w:r>
    <w:r w:rsidR="004E2B8F">
      <w:rPr>
        <w:rFonts w:ascii="Times New Roman" w:hAnsi="Times New Roman"/>
        <w:noProof/>
        <w:sz w:val="18"/>
        <w:szCs w:val="18"/>
      </w:rPr>
      <w:t>7</w:t>
    </w:r>
    <w:r w:rsidR="000F50E0" w:rsidRPr="00031A94">
      <w:rPr>
        <w:rFonts w:ascii="Times New Roman" w:hAnsi="Times New Roman"/>
        <w:sz w:val="18"/>
        <w:szCs w:val="18"/>
      </w:rPr>
      <w:fldChar w:fldCharType="end"/>
    </w:r>
  </w:p>
  <w:p w:rsidR="000F50E0" w:rsidRPr="006F6B4E" w:rsidRDefault="000F50E0" w:rsidP="00541D43">
    <w:pPr>
      <w:pStyle w:val="Pieddepage"/>
      <w:tabs>
        <w:tab w:val="right" w:pos="9356"/>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01" w:rsidRDefault="00CA4101">
      <w:r>
        <w:separator/>
      </w:r>
    </w:p>
  </w:footnote>
  <w:footnote w:type="continuationSeparator" w:id="0">
    <w:p w:rsidR="00CA4101" w:rsidRDefault="00CA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4B" w:rsidRDefault="007D21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Pr="005F11E3" w:rsidRDefault="000F50E0">
    <w:pPr>
      <w:pStyle w:val="En-tte"/>
      <w:jc w:val="center"/>
      <w:rPr>
        <w:b/>
        <w:sz w:val="22"/>
        <w:szCs w:val="22"/>
      </w:rPr>
    </w:pPr>
    <w:r>
      <w:rPr>
        <w:b/>
        <w:sz w:val="22"/>
      </w:rPr>
      <w:t>Organisation &amp; méthodologie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939" w:rsidRDefault="004E2B8F">
    <w:pPr>
      <w:pStyle w:val="En-tte"/>
    </w:pPr>
    <w:r>
      <w:rPr>
        <w:rFonts w:ascii="Calibri" w:hAnsi="Calibri" w:cs="Calibri"/>
        <w:noProof/>
        <w:color w:val="000000"/>
        <w:lang w:bidi="ar-SA"/>
      </w:rPr>
      <w:drawing>
        <wp:inline distT="0" distB="0" distL="0" distR="0">
          <wp:extent cx="1157605" cy="115760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 w:numId="19">
    <w:abstractNumId w:val="9"/>
  </w:num>
  <w:num w:numId="20">
    <w:abstractNumId w:val="4"/>
  </w:num>
  <w:num w:numId="21">
    <w:abstractNumId w:val="8"/>
  </w:num>
  <w:num w:numId="22">
    <w:abstractNumId w:val="14"/>
  </w:num>
  <w:num w:numId="23">
    <w:abstractNumId w:val="17"/>
  </w:num>
  <w:num w:numId="24">
    <w:abstractNumId w:val="6"/>
  </w:num>
  <w:num w:numId="25">
    <w:abstractNumId w:val="13"/>
  </w:num>
  <w:num w:numId="26">
    <w:abstractNumId w:val="12"/>
  </w:num>
  <w:num w:numId="27">
    <w:abstractNumId w:val="10"/>
  </w:num>
  <w:num w:numId="28">
    <w:abstractNumId w:val="11"/>
  </w:num>
  <w:num w:numId="29">
    <w:abstractNumId w:val="3"/>
  </w:num>
  <w:num w:numId="30">
    <w:abstractNumId w:val="7"/>
  </w:num>
  <w:num w:numId="31">
    <w:abstractNumId w:val="2"/>
  </w:num>
  <w:num w:numId="32">
    <w:abstractNumId w:val="5"/>
  </w:num>
  <w:num w:numId="33">
    <w:abstractNumId w:val="18"/>
  </w:num>
  <w:num w:numId="34">
    <w:abstractNumId w:val="3"/>
  </w:num>
  <w:num w:numId="35">
    <w:abstractNumId w:val="7"/>
  </w:num>
  <w:num w:numId="36">
    <w:abstractNumId w:val="2"/>
  </w:num>
  <w:num w:numId="37">
    <w:abstractNumId w:val="5"/>
  </w:num>
  <w:num w:numId="38">
    <w:abstractNumId w:val="18"/>
  </w:num>
  <w:num w:numId="39">
    <w:abstractNumId w:val="3"/>
  </w:num>
  <w:num w:numId="40">
    <w:abstractNumId w:val="7"/>
  </w:num>
  <w:num w:numId="41">
    <w:abstractNumId w:val="2"/>
  </w:num>
  <w:num w:numId="42">
    <w:abstractNumId w:val="5"/>
  </w:num>
  <w:num w:numId="43">
    <w:abstractNumId w:val="18"/>
  </w:num>
  <w:num w:numId="44">
    <w:abstractNumId w:val="3"/>
  </w:num>
  <w:num w:numId="45">
    <w:abstractNumId w:val="7"/>
  </w:num>
  <w:num w:numId="46">
    <w:abstractNumId w:val="2"/>
  </w:num>
  <w:num w:numId="47">
    <w:abstractNumId w:val="5"/>
  </w:num>
  <w:num w:numId="48">
    <w:abstractNumId w:val="18"/>
  </w:num>
  <w:num w:numId="49">
    <w:abstractNumId w:val="9"/>
  </w:num>
  <w:num w:numId="5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93650"/>
    <w:rsid w:val="00013C16"/>
    <w:rsid w:val="00021F15"/>
    <w:rsid w:val="00022FF0"/>
    <w:rsid w:val="000269E0"/>
    <w:rsid w:val="00030799"/>
    <w:rsid w:val="00031A94"/>
    <w:rsid w:val="00076137"/>
    <w:rsid w:val="00086124"/>
    <w:rsid w:val="00092E22"/>
    <w:rsid w:val="0009571C"/>
    <w:rsid w:val="000D0705"/>
    <w:rsid w:val="000F166B"/>
    <w:rsid w:val="000F50E0"/>
    <w:rsid w:val="00100D4E"/>
    <w:rsid w:val="00105D8A"/>
    <w:rsid w:val="00127727"/>
    <w:rsid w:val="00132167"/>
    <w:rsid w:val="001623D2"/>
    <w:rsid w:val="0016625F"/>
    <w:rsid w:val="00167A24"/>
    <w:rsid w:val="00167B0D"/>
    <w:rsid w:val="00174FAB"/>
    <w:rsid w:val="0018122F"/>
    <w:rsid w:val="001A0914"/>
    <w:rsid w:val="001E09E3"/>
    <w:rsid w:val="001E5D76"/>
    <w:rsid w:val="001F6435"/>
    <w:rsid w:val="00213377"/>
    <w:rsid w:val="002207AC"/>
    <w:rsid w:val="00237287"/>
    <w:rsid w:val="00251E0B"/>
    <w:rsid w:val="0025420F"/>
    <w:rsid w:val="0025571A"/>
    <w:rsid w:val="00291FB1"/>
    <w:rsid w:val="002F3934"/>
    <w:rsid w:val="002F7013"/>
    <w:rsid w:val="0031688C"/>
    <w:rsid w:val="00334DF3"/>
    <w:rsid w:val="00336F94"/>
    <w:rsid w:val="00344337"/>
    <w:rsid w:val="00356106"/>
    <w:rsid w:val="003575D1"/>
    <w:rsid w:val="00371056"/>
    <w:rsid w:val="0039614B"/>
    <w:rsid w:val="003C14A6"/>
    <w:rsid w:val="003C64F2"/>
    <w:rsid w:val="003D2BF5"/>
    <w:rsid w:val="003E7D22"/>
    <w:rsid w:val="003F1630"/>
    <w:rsid w:val="00403557"/>
    <w:rsid w:val="00403CFA"/>
    <w:rsid w:val="00415FED"/>
    <w:rsid w:val="00416072"/>
    <w:rsid w:val="00443021"/>
    <w:rsid w:val="00450E58"/>
    <w:rsid w:val="00451A17"/>
    <w:rsid w:val="00457B66"/>
    <w:rsid w:val="0048536B"/>
    <w:rsid w:val="004E2B8F"/>
    <w:rsid w:val="005155D9"/>
    <w:rsid w:val="005241C2"/>
    <w:rsid w:val="00541D43"/>
    <w:rsid w:val="00541E24"/>
    <w:rsid w:val="00563D92"/>
    <w:rsid w:val="005856B8"/>
    <w:rsid w:val="00586939"/>
    <w:rsid w:val="005D736F"/>
    <w:rsid w:val="005F11E3"/>
    <w:rsid w:val="00623921"/>
    <w:rsid w:val="00647228"/>
    <w:rsid w:val="00651A74"/>
    <w:rsid w:val="00664BCB"/>
    <w:rsid w:val="00677A4F"/>
    <w:rsid w:val="00681B9A"/>
    <w:rsid w:val="0068419D"/>
    <w:rsid w:val="006B0A96"/>
    <w:rsid w:val="006B7026"/>
    <w:rsid w:val="006B7B64"/>
    <w:rsid w:val="006C12E9"/>
    <w:rsid w:val="006C5CE7"/>
    <w:rsid w:val="006D003C"/>
    <w:rsid w:val="006F6B4E"/>
    <w:rsid w:val="00744195"/>
    <w:rsid w:val="007606C8"/>
    <w:rsid w:val="00767402"/>
    <w:rsid w:val="007717A9"/>
    <w:rsid w:val="0077498F"/>
    <w:rsid w:val="00776607"/>
    <w:rsid w:val="00793804"/>
    <w:rsid w:val="007B4BC7"/>
    <w:rsid w:val="007D214B"/>
    <w:rsid w:val="008001EA"/>
    <w:rsid w:val="0080057F"/>
    <w:rsid w:val="00814FF9"/>
    <w:rsid w:val="00822909"/>
    <w:rsid w:val="00834981"/>
    <w:rsid w:val="008416DC"/>
    <w:rsid w:val="00857286"/>
    <w:rsid w:val="00866543"/>
    <w:rsid w:val="00883881"/>
    <w:rsid w:val="008842BE"/>
    <w:rsid w:val="00884944"/>
    <w:rsid w:val="00895761"/>
    <w:rsid w:val="008A22EF"/>
    <w:rsid w:val="008D5F8C"/>
    <w:rsid w:val="00921CBD"/>
    <w:rsid w:val="009540A9"/>
    <w:rsid w:val="009730C6"/>
    <w:rsid w:val="009772B6"/>
    <w:rsid w:val="009A47E4"/>
    <w:rsid w:val="009D1325"/>
    <w:rsid w:val="009F7790"/>
    <w:rsid w:val="00A01C8C"/>
    <w:rsid w:val="00A24090"/>
    <w:rsid w:val="00A24650"/>
    <w:rsid w:val="00A37B36"/>
    <w:rsid w:val="00A55EA1"/>
    <w:rsid w:val="00A774FE"/>
    <w:rsid w:val="00A94A6A"/>
    <w:rsid w:val="00A97ABC"/>
    <w:rsid w:val="00AB43A7"/>
    <w:rsid w:val="00AD0410"/>
    <w:rsid w:val="00AE7BEF"/>
    <w:rsid w:val="00AF239D"/>
    <w:rsid w:val="00B01B67"/>
    <w:rsid w:val="00B0586C"/>
    <w:rsid w:val="00B629BC"/>
    <w:rsid w:val="00BB6C49"/>
    <w:rsid w:val="00BD66CE"/>
    <w:rsid w:val="00BF5D08"/>
    <w:rsid w:val="00BF5F64"/>
    <w:rsid w:val="00C17711"/>
    <w:rsid w:val="00C27DA6"/>
    <w:rsid w:val="00C531D8"/>
    <w:rsid w:val="00C635BD"/>
    <w:rsid w:val="00C81157"/>
    <w:rsid w:val="00C856FB"/>
    <w:rsid w:val="00C94E6A"/>
    <w:rsid w:val="00C962F9"/>
    <w:rsid w:val="00CA4101"/>
    <w:rsid w:val="00CE24D4"/>
    <w:rsid w:val="00CE4DEE"/>
    <w:rsid w:val="00CF0C08"/>
    <w:rsid w:val="00D25EEB"/>
    <w:rsid w:val="00D32502"/>
    <w:rsid w:val="00D407D1"/>
    <w:rsid w:val="00D42A2E"/>
    <w:rsid w:val="00D5088F"/>
    <w:rsid w:val="00D53F22"/>
    <w:rsid w:val="00D864C4"/>
    <w:rsid w:val="00D868F0"/>
    <w:rsid w:val="00E113D8"/>
    <w:rsid w:val="00E63667"/>
    <w:rsid w:val="00E93650"/>
    <w:rsid w:val="00EC2365"/>
    <w:rsid w:val="00ED0F2A"/>
    <w:rsid w:val="00EE58B7"/>
    <w:rsid w:val="00EF4535"/>
    <w:rsid w:val="00F16E45"/>
    <w:rsid w:val="00F229CE"/>
    <w:rsid w:val="00F2545F"/>
    <w:rsid w:val="00F44728"/>
    <w:rsid w:val="00F66825"/>
    <w:rsid w:val="00F959F8"/>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B414A3-4537-4547-9848-1891EFCA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fr-FR"/>
    </w:rPr>
  </w:style>
  <w:style w:type="paragraph" w:styleId="Titre1">
    <w:name w:val="heading 1"/>
    <w:basedOn w:val="Normal"/>
    <w:next w:val="Text1"/>
    <w:link w:val="Titre1Car"/>
    <w:qFormat/>
    <w:pPr>
      <w:keepNext/>
      <w:numPr>
        <w:numId w:val="1"/>
      </w:numPr>
      <w:tabs>
        <w:tab w:val="clear" w:pos="480"/>
      </w:tabs>
      <w:spacing w:before="240"/>
      <w:ind w:left="482" w:hanging="482"/>
      <w:outlineLvl w:val="0"/>
    </w:pPr>
    <w:rPr>
      <w:b/>
      <w:smallCaps/>
      <w:kern w:val="28"/>
    </w:rPr>
  </w:style>
  <w:style w:type="paragraph" w:styleId="Titre2">
    <w:name w:val="heading 2"/>
    <w:basedOn w:val="Normal"/>
    <w:next w:val="Text2"/>
    <w:qFormat/>
    <w:pPr>
      <w:keepNext/>
      <w:numPr>
        <w:ilvl w:val="1"/>
        <w:numId w:val="1"/>
      </w:numPr>
      <w:tabs>
        <w:tab w:val="clear" w:pos="1200"/>
      </w:tabs>
      <w:ind w:left="1202"/>
      <w:outlineLvl w:val="1"/>
    </w:pPr>
    <w:rPr>
      <w:b/>
    </w:rPr>
  </w:style>
  <w:style w:type="paragraph" w:styleId="Titre3">
    <w:name w:val="heading 3"/>
    <w:basedOn w:val="Normal"/>
    <w:next w:val="Text3"/>
    <w:qFormat/>
    <w:pPr>
      <w:keepNext/>
      <w:numPr>
        <w:ilvl w:val="2"/>
        <w:numId w:val="1"/>
      </w:numPr>
      <w:tabs>
        <w:tab w:val="clear" w:pos="1920"/>
      </w:tabs>
      <w:ind w:left="1984" w:hanging="782"/>
      <w:outlineLvl w:val="2"/>
    </w:pPr>
    <w:rPr>
      <w:i/>
    </w:rPr>
  </w:style>
  <w:style w:type="paragraph" w:styleId="Titre4">
    <w:name w:val="heading 4"/>
    <w:basedOn w:val="Normal"/>
    <w:next w:val="Text4"/>
    <w:qFormat/>
    <w:pPr>
      <w:keepNext/>
      <w:numPr>
        <w:ilvl w:val="3"/>
        <w:numId w:val="1"/>
      </w:numPr>
      <w:tabs>
        <w:tab w:val="clear" w:pos="1920"/>
      </w:tabs>
      <w:ind w:left="1984" w:hanging="782"/>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semiHidden/>
    <w:pPr>
      <w:ind w:left="357" w:hanging="357"/>
    </w:pPr>
    <w:rPr>
      <w:sz w:val="20"/>
    </w:r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100D4E"/>
    <w:pPr>
      <w:numPr>
        <w:numId w:val="19"/>
      </w:numPr>
    </w:pPr>
    <w:rPr>
      <w:lang w:eastAsia="en-US" w:bidi="ar-SA"/>
    </w:rPr>
  </w:style>
  <w:style w:type="paragraph" w:styleId="Listepuces2">
    <w:name w:val="List Bullet 2"/>
    <w:basedOn w:val="Text2"/>
    <w:rsid w:val="00100D4E"/>
    <w:pPr>
      <w:numPr>
        <w:numId w:val="21"/>
      </w:numPr>
      <w:tabs>
        <w:tab w:val="clear" w:pos="2161"/>
      </w:tabs>
    </w:pPr>
    <w:rPr>
      <w:lang w:eastAsia="en-US" w:bidi="ar-SA"/>
    </w:rPr>
  </w:style>
  <w:style w:type="paragraph" w:styleId="Listepuces3">
    <w:name w:val="List Bullet 3"/>
    <w:basedOn w:val="Text3"/>
    <w:rsid w:val="00100D4E"/>
    <w:pPr>
      <w:numPr>
        <w:numId w:val="22"/>
      </w:numPr>
      <w:tabs>
        <w:tab w:val="clear" w:pos="2302"/>
      </w:tabs>
    </w:pPr>
    <w:rPr>
      <w:lang w:eastAsia="en-US" w:bidi="ar-SA"/>
    </w:rPr>
  </w:style>
  <w:style w:type="paragraph" w:styleId="Listepuces4">
    <w:name w:val="List Bullet 4"/>
    <w:basedOn w:val="Text4"/>
    <w:rsid w:val="00100D4E"/>
    <w:pPr>
      <w:numPr>
        <w:numId w:val="23"/>
      </w:numPr>
      <w:tabs>
        <w:tab w:val="clear" w:pos="2302"/>
      </w:tabs>
    </w:pPr>
    <w:rPr>
      <w:lang w:eastAsia="en-US" w:bidi="ar-SA"/>
    </w:rPr>
  </w:style>
  <w:style w:type="paragraph" w:styleId="Listepuces5">
    <w:name w:val="List Bullet 5"/>
    <w:basedOn w:val="Normal"/>
    <w:autoRedefine/>
    <w:pPr>
      <w:numPr>
        <w:numId w:val="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100D4E"/>
    <w:pPr>
      <w:numPr>
        <w:numId w:val="44"/>
      </w:numPr>
    </w:pPr>
    <w:rPr>
      <w:lang w:eastAsia="en-US" w:bidi="ar-SA"/>
    </w:rPr>
  </w:style>
  <w:style w:type="paragraph" w:styleId="Listenumros2">
    <w:name w:val="List Number 2"/>
    <w:basedOn w:val="Text2"/>
    <w:rsid w:val="00100D4E"/>
    <w:pPr>
      <w:numPr>
        <w:numId w:val="46"/>
      </w:numPr>
      <w:tabs>
        <w:tab w:val="clear" w:pos="2161"/>
      </w:tabs>
    </w:pPr>
    <w:rPr>
      <w:lang w:eastAsia="en-US" w:bidi="ar-SA"/>
    </w:rPr>
  </w:style>
  <w:style w:type="paragraph" w:styleId="Listenumros3">
    <w:name w:val="List Number 3"/>
    <w:basedOn w:val="Text3"/>
    <w:rsid w:val="00100D4E"/>
    <w:pPr>
      <w:numPr>
        <w:numId w:val="47"/>
      </w:numPr>
      <w:tabs>
        <w:tab w:val="clear" w:pos="2302"/>
      </w:tabs>
    </w:pPr>
    <w:rPr>
      <w:lang w:eastAsia="en-US" w:bidi="ar-SA"/>
    </w:rPr>
  </w:style>
  <w:style w:type="paragraph" w:styleId="Listenumros4">
    <w:name w:val="List Number 4"/>
    <w:basedOn w:val="Text4"/>
    <w:rsid w:val="00100D4E"/>
    <w:pPr>
      <w:numPr>
        <w:numId w:val="48"/>
      </w:numPr>
      <w:tabs>
        <w:tab w:val="clear" w:pos="2302"/>
      </w:tabs>
    </w:pPr>
    <w:rPr>
      <w:lang w:eastAsia="en-US" w:bidi="ar-SA"/>
    </w:rPr>
  </w:style>
  <w:style w:type="paragraph" w:styleId="Listenumros5">
    <w:name w:val="List Number 5"/>
    <w:basedOn w:val="Normal"/>
    <w:pPr>
      <w:numPr>
        <w:numId w:val="3"/>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fr-FR"/>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rsid w:val="00E93650"/>
    <w:pPr>
      <w:tabs>
        <w:tab w:val="right" w:leader="dot" w:pos="8640"/>
      </w:tabs>
      <w:spacing w:before="120" w:after="120"/>
      <w:ind w:left="482" w:right="720" w:hanging="482"/>
    </w:pPr>
    <w:rPr>
      <w:caps/>
    </w:rPr>
  </w:style>
  <w:style w:type="paragraph" w:styleId="TM2">
    <w:name w:val="toc 2"/>
    <w:basedOn w:val="Normal"/>
    <w:next w:val="Normal"/>
    <w:semiHidden/>
    <w:rsid w:val="00E93650"/>
    <w:pPr>
      <w:tabs>
        <w:tab w:val="right" w:leader="dot" w:pos="8640"/>
      </w:tabs>
      <w:spacing w:before="60" w:after="60"/>
      <w:ind w:left="1077" w:right="720" w:hanging="595"/>
    </w:pPr>
  </w:style>
  <w:style w:type="paragraph" w:styleId="TM3">
    <w:name w:val="toc 3"/>
    <w:basedOn w:val="Normal"/>
    <w:next w:val="Normal"/>
    <w:semiHidden/>
    <w:rsid w:val="00E93650"/>
    <w:pPr>
      <w:tabs>
        <w:tab w:val="right" w:leader="dot" w:pos="8640"/>
      </w:tabs>
      <w:spacing w:before="60" w:after="60"/>
      <w:ind w:left="1916" w:right="720" w:hanging="839"/>
    </w:pPr>
  </w:style>
  <w:style w:type="paragraph" w:styleId="TM4">
    <w:name w:val="toc 4"/>
    <w:basedOn w:val="Normal"/>
    <w:next w:val="Normal"/>
    <w:semiHidden/>
    <w:rsid w:val="00E93650"/>
    <w:pPr>
      <w:tabs>
        <w:tab w:val="right" w:leader="dot" w:pos="8641"/>
      </w:tabs>
      <w:spacing w:before="60" w:after="60"/>
      <w:ind w:left="2880" w:right="720" w:hanging="964"/>
    </w:pPr>
  </w:style>
  <w:style w:type="paragraph" w:styleId="TM5">
    <w:name w:val="toc 5"/>
    <w:basedOn w:val="Normal"/>
    <w:next w:val="Normal"/>
    <w:semiHidden/>
    <w:rsid w:val="00100D4E"/>
    <w:pPr>
      <w:tabs>
        <w:tab w:val="right" w:leader="dot" w:pos="8641"/>
      </w:tabs>
      <w:spacing w:before="240" w:after="120"/>
      <w:ind w:right="720"/>
    </w:pPr>
    <w:rPr>
      <w:caps/>
      <w:lang w:eastAsia="en-US" w:bidi="ar-SA"/>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Titre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Lienhypertexte">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100D4E"/>
    <w:pPr>
      <w:spacing w:after="480"/>
      <w:ind w:left="567" w:hanging="567"/>
      <w:jc w:val="left"/>
    </w:pPr>
    <w:rPr>
      <w:lang w:eastAsia="en-US" w:bidi="ar-SA"/>
    </w:rPr>
  </w:style>
  <w:style w:type="paragraph" w:customStyle="1" w:styleId="ListBullet1">
    <w:name w:val="List Bullet 1"/>
    <w:basedOn w:val="Text1"/>
    <w:rsid w:val="00100D4E"/>
    <w:pPr>
      <w:numPr>
        <w:numId w:val="20"/>
      </w:numPr>
    </w:pPr>
    <w:rPr>
      <w:lang w:eastAsia="en-US" w:bidi="ar-SA"/>
    </w:rPr>
  </w:style>
  <w:style w:type="paragraph" w:customStyle="1" w:styleId="ListDash">
    <w:name w:val="List Dash"/>
    <w:basedOn w:val="Normal"/>
    <w:rsid w:val="00100D4E"/>
    <w:pPr>
      <w:numPr>
        <w:numId w:val="24"/>
      </w:numPr>
    </w:pPr>
    <w:rPr>
      <w:lang w:eastAsia="en-US" w:bidi="ar-SA"/>
    </w:rPr>
  </w:style>
  <w:style w:type="paragraph" w:customStyle="1" w:styleId="ListDash1">
    <w:name w:val="List Dash 1"/>
    <w:basedOn w:val="Text1"/>
    <w:rsid w:val="00100D4E"/>
    <w:pPr>
      <w:numPr>
        <w:numId w:val="25"/>
      </w:numPr>
    </w:pPr>
    <w:rPr>
      <w:lang w:eastAsia="en-US" w:bidi="ar-SA"/>
    </w:rPr>
  </w:style>
  <w:style w:type="paragraph" w:customStyle="1" w:styleId="ListDash2">
    <w:name w:val="List Dash 2"/>
    <w:basedOn w:val="Text2"/>
    <w:rsid w:val="00100D4E"/>
    <w:pPr>
      <w:numPr>
        <w:numId w:val="26"/>
      </w:numPr>
      <w:tabs>
        <w:tab w:val="clear" w:pos="2161"/>
      </w:tabs>
    </w:pPr>
    <w:rPr>
      <w:lang w:eastAsia="en-US" w:bidi="ar-SA"/>
    </w:rPr>
  </w:style>
  <w:style w:type="paragraph" w:customStyle="1" w:styleId="ListDash3">
    <w:name w:val="List Dash 3"/>
    <w:basedOn w:val="Text3"/>
    <w:rsid w:val="00100D4E"/>
    <w:pPr>
      <w:numPr>
        <w:numId w:val="27"/>
      </w:numPr>
      <w:tabs>
        <w:tab w:val="clear" w:pos="2302"/>
      </w:tabs>
    </w:pPr>
    <w:rPr>
      <w:lang w:eastAsia="en-US" w:bidi="ar-SA"/>
    </w:rPr>
  </w:style>
  <w:style w:type="paragraph" w:customStyle="1" w:styleId="ListDash4">
    <w:name w:val="List Dash 4"/>
    <w:basedOn w:val="Text4"/>
    <w:rsid w:val="00100D4E"/>
    <w:pPr>
      <w:numPr>
        <w:numId w:val="28"/>
      </w:numPr>
      <w:tabs>
        <w:tab w:val="clear" w:pos="2302"/>
      </w:tabs>
    </w:pPr>
    <w:rPr>
      <w:lang w:eastAsia="en-US" w:bidi="ar-SA"/>
    </w:rPr>
  </w:style>
  <w:style w:type="paragraph" w:customStyle="1" w:styleId="ListNumber1">
    <w:name w:val="List Number 1"/>
    <w:basedOn w:val="Text1"/>
    <w:rsid w:val="00100D4E"/>
    <w:pPr>
      <w:numPr>
        <w:numId w:val="45"/>
      </w:numPr>
    </w:pPr>
    <w:rPr>
      <w:lang w:eastAsia="en-US" w:bidi="ar-SA"/>
    </w:rPr>
  </w:style>
  <w:style w:type="paragraph" w:customStyle="1" w:styleId="ListNumberLevel2">
    <w:name w:val="List Number (Level 2)"/>
    <w:basedOn w:val="Normal"/>
    <w:rsid w:val="00100D4E"/>
    <w:pPr>
      <w:numPr>
        <w:ilvl w:val="1"/>
        <w:numId w:val="44"/>
      </w:numPr>
    </w:pPr>
    <w:rPr>
      <w:lang w:eastAsia="en-US" w:bidi="ar-SA"/>
    </w:rPr>
  </w:style>
  <w:style w:type="paragraph" w:customStyle="1" w:styleId="ListNumber1Level2">
    <w:name w:val="List Number 1 (Level 2)"/>
    <w:basedOn w:val="Text1"/>
    <w:rsid w:val="00100D4E"/>
    <w:pPr>
      <w:numPr>
        <w:ilvl w:val="1"/>
        <w:numId w:val="45"/>
      </w:numPr>
    </w:pPr>
    <w:rPr>
      <w:lang w:eastAsia="en-US" w:bidi="ar-SA"/>
    </w:rPr>
  </w:style>
  <w:style w:type="paragraph" w:customStyle="1" w:styleId="ListNumber2Level2">
    <w:name w:val="List Number 2 (Level 2)"/>
    <w:basedOn w:val="Text2"/>
    <w:rsid w:val="00100D4E"/>
    <w:pPr>
      <w:numPr>
        <w:ilvl w:val="1"/>
        <w:numId w:val="46"/>
      </w:numPr>
      <w:tabs>
        <w:tab w:val="clear" w:pos="2161"/>
      </w:tabs>
    </w:pPr>
    <w:rPr>
      <w:lang w:eastAsia="en-US" w:bidi="ar-SA"/>
    </w:rPr>
  </w:style>
  <w:style w:type="paragraph" w:customStyle="1" w:styleId="ListNumber3Level2">
    <w:name w:val="List Number 3 (Level 2)"/>
    <w:basedOn w:val="Text3"/>
    <w:rsid w:val="00100D4E"/>
    <w:pPr>
      <w:numPr>
        <w:ilvl w:val="1"/>
        <w:numId w:val="47"/>
      </w:numPr>
      <w:tabs>
        <w:tab w:val="clear" w:pos="2302"/>
      </w:tabs>
    </w:pPr>
    <w:rPr>
      <w:lang w:eastAsia="en-US" w:bidi="ar-SA"/>
    </w:rPr>
  </w:style>
  <w:style w:type="paragraph" w:customStyle="1" w:styleId="ListNumber4Level2">
    <w:name w:val="List Number 4 (Level 2)"/>
    <w:basedOn w:val="Text4"/>
    <w:rsid w:val="00100D4E"/>
    <w:pPr>
      <w:numPr>
        <w:ilvl w:val="1"/>
        <w:numId w:val="48"/>
      </w:numPr>
      <w:tabs>
        <w:tab w:val="clear" w:pos="2302"/>
      </w:tabs>
    </w:pPr>
    <w:rPr>
      <w:lang w:eastAsia="en-US" w:bidi="ar-SA"/>
    </w:rPr>
  </w:style>
  <w:style w:type="paragraph" w:customStyle="1" w:styleId="ListNumberLevel3">
    <w:name w:val="List Number (Level 3)"/>
    <w:basedOn w:val="Normal"/>
    <w:rsid w:val="00100D4E"/>
    <w:pPr>
      <w:numPr>
        <w:ilvl w:val="2"/>
        <w:numId w:val="44"/>
      </w:numPr>
    </w:pPr>
    <w:rPr>
      <w:lang w:eastAsia="en-US" w:bidi="ar-SA"/>
    </w:rPr>
  </w:style>
  <w:style w:type="paragraph" w:customStyle="1" w:styleId="ListNumber1Level3">
    <w:name w:val="List Number 1 (Level 3)"/>
    <w:basedOn w:val="Text1"/>
    <w:rsid w:val="00100D4E"/>
    <w:pPr>
      <w:numPr>
        <w:ilvl w:val="2"/>
        <w:numId w:val="45"/>
      </w:numPr>
    </w:pPr>
    <w:rPr>
      <w:lang w:eastAsia="en-US" w:bidi="ar-SA"/>
    </w:rPr>
  </w:style>
  <w:style w:type="paragraph" w:customStyle="1" w:styleId="ListNumber2Level3">
    <w:name w:val="List Number 2 (Level 3)"/>
    <w:basedOn w:val="Text2"/>
    <w:rsid w:val="00100D4E"/>
    <w:pPr>
      <w:numPr>
        <w:ilvl w:val="2"/>
        <w:numId w:val="46"/>
      </w:numPr>
      <w:tabs>
        <w:tab w:val="clear" w:pos="2161"/>
      </w:tabs>
    </w:pPr>
    <w:rPr>
      <w:lang w:eastAsia="en-US" w:bidi="ar-SA"/>
    </w:rPr>
  </w:style>
  <w:style w:type="paragraph" w:customStyle="1" w:styleId="ListNumber3Level3">
    <w:name w:val="List Number 3 (Level 3)"/>
    <w:basedOn w:val="Text3"/>
    <w:rsid w:val="00100D4E"/>
    <w:pPr>
      <w:numPr>
        <w:ilvl w:val="2"/>
        <w:numId w:val="47"/>
      </w:numPr>
      <w:tabs>
        <w:tab w:val="clear" w:pos="2302"/>
      </w:tabs>
    </w:pPr>
    <w:rPr>
      <w:lang w:eastAsia="en-US" w:bidi="ar-SA"/>
    </w:rPr>
  </w:style>
  <w:style w:type="paragraph" w:customStyle="1" w:styleId="ListNumber4Level3">
    <w:name w:val="List Number 4 (Level 3)"/>
    <w:basedOn w:val="Text4"/>
    <w:rsid w:val="00100D4E"/>
    <w:pPr>
      <w:numPr>
        <w:ilvl w:val="2"/>
        <w:numId w:val="48"/>
      </w:numPr>
      <w:tabs>
        <w:tab w:val="clear" w:pos="2302"/>
      </w:tabs>
    </w:pPr>
    <w:rPr>
      <w:lang w:eastAsia="en-US" w:bidi="ar-SA"/>
    </w:rPr>
  </w:style>
  <w:style w:type="paragraph" w:customStyle="1" w:styleId="ListNumberLevel4">
    <w:name w:val="List Number (Level 4)"/>
    <w:basedOn w:val="Normal"/>
    <w:rsid w:val="00100D4E"/>
    <w:pPr>
      <w:numPr>
        <w:ilvl w:val="3"/>
        <w:numId w:val="44"/>
      </w:numPr>
    </w:pPr>
    <w:rPr>
      <w:lang w:eastAsia="en-US" w:bidi="ar-SA"/>
    </w:rPr>
  </w:style>
  <w:style w:type="paragraph" w:customStyle="1" w:styleId="ListNumber1Level4">
    <w:name w:val="List Number 1 (Level 4)"/>
    <w:basedOn w:val="Text1"/>
    <w:rsid w:val="00100D4E"/>
    <w:pPr>
      <w:numPr>
        <w:ilvl w:val="3"/>
        <w:numId w:val="45"/>
      </w:numPr>
    </w:pPr>
    <w:rPr>
      <w:lang w:eastAsia="en-US" w:bidi="ar-SA"/>
    </w:rPr>
  </w:style>
  <w:style w:type="paragraph" w:customStyle="1" w:styleId="ListNumber2Level4">
    <w:name w:val="List Number 2 (Level 4)"/>
    <w:basedOn w:val="Text2"/>
    <w:rsid w:val="00100D4E"/>
    <w:pPr>
      <w:numPr>
        <w:ilvl w:val="3"/>
        <w:numId w:val="46"/>
      </w:numPr>
      <w:tabs>
        <w:tab w:val="clear" w:pos="2161"/>
      </w:tabs>
    </w:pPr>
    <w:rPr>
      <w:lang w:eastAsia="en-US" w:bidi="ar-SA"/>
    </w:rPr>
  </w:style>
  <w:style w:type="paragraph" w:customStyle="1" w:styleId="ListNumber3Level4">
    <w:name w:val="List Number 3 (Level 4)"/>
    <w:basedOn w:val="Text3"/>
    <w:rsid w:val="00100D4E"/>
    <w:pPr>
      <w:numPr>
        <w:ilvl w:val="3"/>
        <w:numId w:val="47"/>
      </w:numPr>
      <w:tabs>
        <w:tab w:val="clear" w:pos="2302"/>
      </w:tabs>
    </w:pPr>
    <w:rPr>
      <w:lang w:eastAsia="en-US" w:bidi="ar-SA"/>
    </w:rPr>
  </w:style>
  <w:style w:type="paragraph" w:customStyle="1" w:styleId="ListNumber4Level4">
    <w:name w:val="List Number 4 (Level 4)"/>
    <w:basedOn w:val="Text4"/>
    <w:rsid w:val="00100D4E"/>
    <w:pPr>
      <w:numPr>
        <w:ilvl w:val="3"/>
        <w:numId w:val="48"/>
      </w:numPr>
      <w:tabs>
        <w:tab w:val="clear" w:pos="2302"/>
      </w:tabs>
    </w:pPr>
    <w:rPr>
      <w:lang w:eastAsia="en-US" w:bidi="ar-SA"/>
    </w:rPr>
  </w:style>
  <w:style w:type="paragraph" w:styleId="En-ttedetabledesmatires">
    <w:name w:val="TOC Heading"/>
    <w:basedOn w:val="Normal"/>
    <w:next w:val="Normal"/>
    <w:qFormat/>
    <w:rsid w:val="00100D4E"/>
    <w:pPr>
      <w:keepNext/>
      <w:spacing w:before="240"/>
      <w:jc w:val="center"/>
    </w:pPr>
    <w:rPr>
      <w:b/>
      <w:lang w:eastAsia="en-US" w:bidi="ar-SA"/>
    </w:rPr>
  </w:style>
  <w:style w:type="character" w:styleId="Lienhypertextesuivivisit">
    <w:name w:val="FollowedHyperlink"/>
    <w:rsid w:val="00793804"/>
    <w:rPr>
      <w:color w:val="606420"/>
      <w:u w:val="single"/>
    </w:rPr>
  </w:style>
  <w:style w:type="paragraph" w:styleId="Textedebulles">
    <w:name w:val="Balloon Text"/>
    <w:basedOn w:val="Normal"/>
    <w:semiHidden/>
    <w:rsid w:val="00541D43"/>
    <w:rPr>
      <w:rFonts w:ascii="Tahoma" w:hAnsi="Tahoma" w:cs="Tahoma"/>
      <w:sz w:val="16"/>
      <w:szCs w:val="16"/>
    </w:rPr>
  </w:style>
  <w:style w:type="character" w:customStyle="1" w:styleId="Titre1Car">
    <w:name w:val="Titre 1 Car"/>
    <w:link w:val="Titre1"/>
    <w:rsid w:val="00541D43"/>
    <w:rPr>
      <w:b/>
      <w:smallCaps/>
      <w:kern w:val="28"/>
      <w:sz w:val="24"/>
    </w:rPr>
  </w:style>
  <w:style w:type="paragraph" w:styleId="Paragraphedeliste">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vision">
    <w:name w:val="Revision"/>
    <w:hidden/>
    <w:uiPriority w:val="99"/>
    <w:semiHidden/>
    <w:rsid w:val="00677A4F"/>
    <w:rPr>
      <w:sz w:val="24"/>
      <w:lang w:bidi="fr-FR"/>
    </w:rPr>
  </w:style>
  <w:style w:type="paragraph" w:customStyle="1" w:styleId="Default">
    <w:name w:val="Default"/>
    <w:rsid w:val="005155D9"/>
    <w:pPr>
      <w:autoSpaceDE w:val="0"/>
      <w:autoSpaceDN w:val="0"/>
      <w:adjustRightInd w:val="0"/>
    </w:pPr>
    <w:rPr>
      <w:color w:val="000000"/>
      <w:sz w:val="24"/>
      <w:szCs w:val="24"/>
      <w:lang w:bidi="fr-FR"/>
    </w:rPr>
  </w:style>
  <w:style w:type="character" w:styleId="Marquedecommentaire">
    <w:name w:val="annotation reference"/>
    <w:uiPriority w:val="99"/>
    <w:unhideWhenUsed/>
    <w:rsid w:val="005155D9"/>
    <w:rPr>
      <w:sz w:val="16"/>
      <w:szCs w:val="16"/>
    </w:rPr>
  </w:style>
  <w:style w:type="character" w:customStyle="1" w:styleId="CommentaireCar">
    <w:name w:val="Commentaire Car"/>
    <w:link w:val="Commentaire"/>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7</Pages>
  <Words>1841</Words>
  <Characters>10130</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GRANT CONTRACT FOR A DECENTRALISED PROGRAMME :</vt:lpstr>
      <vt:lpstr>GRANT CONTRACT FOR A DECENTRALISED PROGRAMME :</vt:lpstr>
    </vt:vector>
  </TitlesOfParts>
  <Company>DIaLOGIKa</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KIEMA Alexis</cp:lastModifiedBy>
  <cp:revision>2</cp:revision>
  <cp:lastPrinted>2018-10-22T09:11:00Z</cp:lastPrinted>
  <dcterms:created xsi:type="dcterms:W3CDTF">2021-06-10T16:29:00Z</dcterms:created>
  <dcterms:modified xsi:type="dcterms:W3CDTF">2021-06-10T16:29:00Z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