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63AC8" w14:textId="169CBFF3" w:rsidR="00E62CB8" w:rsidRPr="00A90FA8" w:rsidRDefault="009039E9" w:rsidP="0039640A">
      <w:pPr>
        <w:suppressAutoHyphens/>
        <w:autoSpaceDN w:val="0"/>
        <w:spacing w:line="276" w:lineRule="auto"/>
        <w:jc w:val="both"/>
        <w:textAlignment w:val="baseline"/>
        <w:rPr>
          <w:rFonts w:ascii="Arial" w:eastAsia="Calibri" w:hAnsi="Arial" w:cs="Arial"/>
          <w:b/>
          <w:bCs/>
          <w:sz w:val="22"/>
          <w:szCs w:val="22"/>
        </w:rPr>
      </w:pPr>
      <w:r w:rsidRPr="00EE24C8">
        <w:rPr>
          <w:noProof/>
        </w:rPr>
        <w:drawing>
          <wp:anchor distT="0" distB="0" distL="114300" distR="114300" simplePos="0" relativeHeight="251659264" behindDoc="0" locked="0" layoutInCell="1" allowOverlap="1" wp14:anchorId="3BD5F1D9" wp14:editId="35298A81">
            <wp:simplePos x="0" y="0"/>
            <wp:positionH relativeFrom="margin">
              <wp:posOffset>-241300</wp:posOffset>
            </wp:positionH>
            <wp:positionV relativeFrom="margin">
              <wp:posOffset>-14605</wp:posOffset>
            </wp:positionV>
            <wp:extent cx="1270000" cy="1223645"/>
            <wp:effectExtent l="0" t="0" r="6350" b="0"/>
            <wp:wrapSquare wrapText="bothSides"/>
            <wp:docPr id="7430703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4"/>
                    <pic:cNvPicPr>
                      <a:picLocks noChangeAspect="1" noChangeArrowheads="1"/>
                    </pic:cNvPicPr>
                  </pic:nvPicPr>
                  <pic:blipFill>
                    <a:blip r:embed="rId7">
                      <a:extLst>
                        <a:ext uri="{28A0092B-C50C-407E-A947-70E740481C1C}">
                          <a14:useLocalDpi xmlns:a14="http://schemas.microsoft.com/office/drawing/2010/main" val="0"/>
                        </a:ext>
                      </a:extLst>
                    </a:blip>
                    <a:srcRect t="13020" r="7828" b="11926"/>
                    <a:stretch>
                      <a:fillRect/>
                    </a:stretch>
                  </pic:blipFill>
                  <pic:spPr bwMode="auto">
                    <a:xfrm>
                      <a:off x="0" y="0"/>
                      <a:ext cx="1270000" cy="1223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24C8">
        <w:rPr>
          <w:noProof/>
        </w:rPr>
        <w:drawing>
          <wp:anchor distT="0" distB="0" distL="114300" distR="114300" simplePos="0" relativeHeight="251660288" behindDoc="0" locked="0" layoutInCell="1" allowOverlap="1" wp14:anchorId="7A968939" wp14:editId="267ABB34">
            <wp:simplePos x="0" y="0"/>
            <wp:positionH relativeFrom="margin">
              <wp:posOffset>2480310</wp:posOffset>
            </wp:positionH>
            <wp:positionV relativeFrom="margin">
              <wp:posOffset>144145</wp:posOffset>
            </wp:positionV>
            <wp:extent cx="1394460" cy="967740"/>
            <wp:effectExtent l="0" t="0" r="0" b="3810"/>
            <wp:wrapSquare wrapText="bothSides"/>
            <wp:docPr id="2109425151" name="Image 2" descr="G:\ORGANISATION AT2ER\COMMUNICATION\LOGO AT2ER\LOGO AT2ER vs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5" descr="G:\ORGANISATION AT2ER\COMMUNICATION\LOGO AT2ER\LOGO AT2ER vs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4460" cy="967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24C8">
        <w:rPr>
          <w:noProof/>
        </w:rPr>
        <w:drawing>
          <wp:anchor distT="0" distB="0" distL="114300" distR="114300" simplePos="0" relativeHeight="251661312" behindDoc="0" locked="0" layoutInCell="1" allowOverlap="1" wp14:anchorId="1FE95AD0" wp14:editId="31D18472">
            <wp:simplePos x="0" y="0"/>
            <wp:positionH relativeFrom="margin">
              <wp:posOffset>5253990</wp:posOffset>
            </wp:positionH>
            <wp:positionV relativeFrom="paragraph">
              <wp:posOffset>-118745</wp:posOffset>
            </wp:positionV>
            <wp:extent cx="1036320" cy="1395307"/>
            <wp:effectExtent l="0" t="0" r="0" b="0"/>
            <wp:wrapNone/>
            <wp:docPr id="63568794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6320" cy="13953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DD571B" w14:textId="736A8068" w:rsidR="009039E9" w:rsidRPr="009039E9" w:rsidRDefault="009039E9" w:rsidP="009039E9">
      <w:pPr>
        <w:spacing w:before="120" w:after="120"/>
        <w:ind w:left="1440"/>
        <w:jc w:val="both"/>
        <w:rPr>
          <w:b/>
        </w:rPr>
      </w:pPr>
    </w:p>
    <w:p w14:paraId="357DA7DC" w14:textId="0F6AFDF1" w:rsidR="009039E9" w:rsidRPr="00EE24C8" w:rsidRDefault="009039E9" w:rsidP="009039E9">
      <w:pPr>
        <w:jc w:val="both"/>
      </w:pPr>
    </w:p>
    <w:p w14:paraId="309D62D6" w14:textId="77777777" w:rsidR="009039E9" w:rsidRPr="00EE24C8" w:rsidRDefault="009039E9" w:rsidP="009039E9">
      <w:pPr>
        <w:tabs>
          <w:tab w:val="right" w:pos="7254"/>
        </w:tabs>
        <w:ind w:right="-375"/>
        <w:jc w:val="both"/>
        <w:rPr>
          <w:b/>
          <w:bCs/>
          <w:iCs/>
          <w:color w:val="2E74B5"/>
        </w:rPr>
      </w:pPr>
      <w:r w:rsidRPr="00EE24C8">
        <w:rPr>
          <w:b/>
          <w:spacing w:val="80"/>
        </w:rPr>
        <w:t xml:space="preserve"> </w:t>
      </w:r>
    </w:p>
    <w:p w14:paraId="20E58343" w14:textId="77777777" w:rsidR="009039E9" w:rsidRPr="00EE24C8" w:rsidRDefault="009039E9" w:rsidP="009039E9">
      <w:pPr>
        <w:jc w:val="both"/>
      </w:pPr>
    </w:p>
    <w:p w14:paraId="422D74BC" w14:textId="77777777" w:rsidR="009039E9" w:rsidRDefault="009039E9" w:rsidP="009039E9">
      <w:pPr>
        <w:spacing w:before="120" w:after="120"/>
        <w:jc w:val="center"/>
        <w:rPr>
          <w:b/>
        </w:rPr>
      </w:pPr>
    </w:p>
    <w:p w14:paraId="3963691F" w14:textId="64E415C1" w:rsidR="009039E9" w:rsidRPr="009039E9" w:rsidRDefault="009039E9" w:rsidP="009039E9">
      <w:pPr>
        <w:spacing w:before="120" w:after="120"/>
        <w:jc w:val="center"/>
        <w:rPr>
          <w:b/>
          <w:u w:val="single"/>
        </w:rPr>
      </w:pPr>
      <w:r w:rsidRPr="009039E9">
        <w:rPr>
          <w:b/>
          <w:u w:val="single"/>
        </w:rPr>
        <w:t>AVIS DE MARCHE</w:t>
      </w:r>
    </w:p>
    <w:p w14:paraId="35C49A96" w14:textId="77777777" w:rsidR="009039E9" w:rsidRPr="009039E9" w:rsidRDefault="009039E9" w:rsidP="009039E9">
      <w:pPr>
        <w:spacing w:before="120" w:after="120"/>
        <w:jc w:val="center"/>
      </w:pPr>
    </w:p>
    <w:p w14:paraId="526B3B8A" w14:textId="77777777" w:rsidR="009039E9" w:rsidRPr="009039E9" w:rsidRDefault="009039E9" w:rsidP="009039E9">
      <w:pPr>
        <w:spacing w:after="200" w:line="276" w:lineRule="auto"/>
        <w:jc w:val="center"/>
        <w:rPr>
          <w:rFonts w:eastAsia="Calibri"/>
          <w:b/>
          <w:bCs/>
          <w:spacing w:val="60"/>
          <w:lang w:eastAsia="en-US"/>
        </w:rPr>
      </w:pPr>
      <w:r w:rsidRPr="009039E9">
        <w:rPr>
          <w:rFonts w:eastAsia="Calibri"/>
          <w:b/>
          <w:bCs/>
          <w:spacing w:val="60"/>
          <w:lang w:eastAsia="en-US"/>
        </w:rPr>
        <w:t>REPUBLIQUE TOGOLAISE</w:t>
      </w:r>
    </w:p>
    <w:p w14:paraId="76D80F2C" w14:textId="77777777" w:rsidR="009039E9" w:rsidRPr="009039E9" w:rsidRDefault="009039E9" w:rsidP="009039E9">
      <w:pPr>
        <w:spacing w:after="200" w:line="276" w:lineRule="auto"/>
        <w:jc w:val="center"/>
        <w:rPr>
          <w:rFonts w:eastAsia="Calibri"/>
          <w:lang w:eastAsia="en-US"/>
        </w:rPr>
      </w:pPr>
      <w:r w:rsidRPr="009039E9">
        <w:rPr>
          <w:rFonts w:eastAsia="Calibri"/>
          <w:b/>
          <w:bCs/>
          <w:lang w:eastAsia="en-US"/>
        </w:rPr>
        <w:t>AVIS INTERNATIONAL DE MARCHÉ POUR DES TRAVAUX</w:t>
      </w:r>
    </w:p>
    <w:tbl>
      <w:tblPr>
        <w:tblStyle w:val="Grilledutableau"/>
        <w:tblW w:w="99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37"/>
        <w:gridCol w:w="6751"/>
      </w:tblGrid>
      <w:tr w:rsidR="009039E9" w:rsidRPr="009039E9" w14:paraId="09D94510" w14:textId="77777777" w:rsidTr="002D6626">
        <w:trPr>
          <w:trHeight w:val="850"/>
          <w:jc w:val="center"/>
        </w:trPr>
        <w:tc>
          <w:tcPr>
            <w:tcW w:w="2830" w:type="dxa"/>
            <w:vAlign w:val="center"/>
          </w:tcPr>
          <w:p w14:paraId="59CAF65B" w14:textId="77777777" w:rsidR="009039E9" w:rsidRPr="009039E9" w:rsidRDefault="009039E9" w:rsidP="009039E9">
            <w:pPr>
              <w:suppressAutoHyphens/>
              <w:rPr>
                <w:b/>
                <w:bCs/>
                <w:sz w:val="26"/>
                <w:szCs w:val="26"/>
                <w:lang w:eastAsia="ar-SA"/>
              </w:rPr>
            </w:pPr>
            <w:r w:rsidRPr="009039E9">
              <w:rPr>
                <w:b/>
                <w:bCs/>
                <w:sz w:val="26"/>
                <w:szCs w:val="26"/>
                <w:lang w:eastAsia="ar-SA"/>
              </w:rPr>
              <w:t>Agence d’exécution</w:t>
            </w:r>
          </w:p>
        </w:tc>
        <w:tc>
          <w:tcPr>
            <w:tcW w:w="337" w:type="dxa"/>
            <w:vAlign w:val="center"/>
          </w:tcPr>
          <w:p w14:paraId="5A59E623" w14:textId="77777777" w:rsidR="009039E9" w:rsidRPr="009039E9" w:rsidRDefault="009039E9" w:rsidP="009039E9">
            <w:pPr>
              <w:suppressAutoHyphens/>
              <w:rPr>
                <w:b/>
                <w:bCs/>
                <w:sz w:val="26"/>
                <w:szCs w:val="26"/>
                <w:lang w:eastAsia="ar-SA"/>
              </w:rPr>
            </w:pPr>
            <w:r w:rsidRPr="009039E9">
              <w:rPr>
                <w:b/>
                <w:bCs/>
                <w:sz w:val="26"/>
                <w:szCs w:val="26"/>
                <w:lang w:eastAsia="ar-SA"/>
              </w:rPr>
              <w:t>:</w:t>
            </w:r>
          </w:p>
        </w:tc>
        <w:tc>
          <w:tcPr>
            <w:tcW w:w="6751" w:type="dxa"/>
            <w:vAlign w:val="center"/>
          </w:tcPr>
          <w:p w14:paraId="45DEA7D4" w14:textId="77777777" w:rsidR="009039E9" w:rsidRPr="009039E9" w:rsidRDefault="009039E9" w:rsidP="009039E9">
            <w:pPr>
              <w:ind w:left="-21"/>
              <w:jc w:val="both"/>
              <w:rPr>
                <w:sz w:val="26"/>
                <w:szCs w:val="26"/>
                <w:lang w:eastAsia="da-DK"/>
              </w:rPr>
            </w:pPr>
            <w:r w:rsidRPr="009039E9">
              <w:rPr>
                <w:sz w:val="26"/>
                <w:szCs w:val="26"/>
                <w:lang w:eastAsia="da-DK"/>
              </w:rPr>
              <w:t>Agence Togolaise d’Electrification Rurale et des Energies Renouvelables (AT2ER)</w:t>
            </w:r>
          </w:p>
        </w:tc>
      </w:tr>
      <w:tr w:rsidR="009039E9" w:rsidRPr="009039E9" w14:paraId="201DBFBF" w14:textId="77777777" w:rsidTr="002D6626">
        <w:trPr>
          <w:trHeight w:val="850"/>
          <w:jc w:val="center"/>
        </w:trPr>
        <w:tc>
          <w:tcPr>
            <w:tcW w:w="2830" w:type="dxa"/>
            <w:vAlign w:val="center"/>
          </w:tcPr>
          <w:p w14:paraId="6F3B3081" w14:textId="77777777" w:rsidR="009039E9" w:rsidRPr="009039E9" w:rsidRDefault="009039E9" w:rsidP="009039E9">
            <w:pPr>
              <w:suppressAutoHyphens/>
              <w:rPr>
                <w:b/>
                <w:bCs/>
                <w:sz w:val="26"/>
                <w:szCs w:val="26"/>
                <w:lang w:eastAsia="ar-SA"/>
              </w:rPr>
            </w:pPr>
            <w:r w:rsidRPr="009039E9">
              <w:rPr>
                <w:b/>
                <w:bCs/>
                <w:sz w:val="26"/>
                <w:szCs w:val="26"/>
                <w:lang w:eastAsia="ar-SA"/>
              </w:rPr>
              <w:t>Nom du projet</w:t>
            </w:r>
          </w:p>
        </w:tc>
        <w:tc>
          <w:tcPr>
            <w:tcW w:w="337" w:type="dxa"/>
            <w:vAlign w:val="center"/>
          </w:tcPr>
          <w:p w14:paraId="4CC0BFD2" w14:textId="77777777" w:rsidR="009039E9" w:rsidRPr="009039E9" w:rsidRDefault="009039E9" w:rsidP="009039E9">
            <w:pPr>
              <w:suppressAutoHyphens/>
              <w:rPr>
                <w:b/>
                <w:bCs/>
                <w:sz w:val="26"/>
                <w:szCs w:val="26"/>
                <w:lang w:eastAsia="ar-SA"/>
              </w:rPr>
            </w:pPr>
            <w:r w:rsidRPr="009039E9">
              <w:rPr>
                <w:b/>
                <w:bCs/>
                <w:sz w:val="26"/>
                <w:szCs w:val="26"/>
                <w:lang w:eastAsia="ar-SA"/>
              </w:rPr>
              <w:t>:</w:t>
            </w:r>
          </w:p>
        </w:tc>
        <w:tc>
          <w:tcPr>
            <w:tcW w:w="6751" w:type="dxa"/>
            <w:vAlign w:val="center"/>
          </w:tcPr>
          <w:p w14:paraId="198BB7FA" w14:textId="77777777" w:rsidR="009039E9" w:rsidRPr="009039E9" w:rsidRDefault="009039E9" w:rsidP="009039E9">
            <w:pPr>
              <w:ind w:left="-21"/>
              <w:jc w:val="both"/>
              <w:rPr>
                <w:sz w:val="26"/>
                <w:szCs w:val="26"/>
                <w:lang w:eastAsia="da-DK"/>
              </w:rPr>
            </w:pPr>
            <w:r w:rsidRPr="009039E9">
              <w:rPr>
                <w:sz w:val="26"/>
                <w:szCs w:val="26"/>
                <w:lang w:eastAsia="da-DK"/>
              </w:rPr>
              <w:t>Projet d’électrification rurale de 172 localités par extension du réseau électrique de distribution moyenne et basse tension en République Togolaise</w:t>
            </w:r>
          </w:p>
        </w:tc>
      </w:tr>
      <w:tr w:rsidR="009039E9" w:rsidRPr="009039E9" w14:paraId="58DC0E56" w14:textId="77777777" w:rsidTr="002D6626">
        <w:trPr>
          <w:trHeight w:val="850"/>
          <w:jc w:val="center"/>
        </w:trPr>
        <w:tc>
          <w:tcPr>
            <w:tcW w:w="2830" w:type="dxa"/>
            <w:vAlign w:val="center"/>
          </w:tcPr>
          <w:p w14:paraId="3051D8A1" w14:textId="77777777" w:rsidR="009039E9" w:rsidRPr="009039E9" w:rsidRDefault="009039E9" w:rsidP="009039E9">
            <w:pPr>
              <w:suppressAutoHyphens/>
              <w:rPr>
                <w:b/>
                <w:bCs/>
                <w:sz w:val="26"/>
                <w:szCs w:val="26"/>
                <w:lang w:eastAsia="ar-SA"/>
              </w:rPr>
            </w:pPr>
            <w:r w:rsidRPr="009039E9">
              <w:rPr>
                <w:b/>
                <w:bCs/>
                <w:sz w:val="26"/>
                <w:szCs w:val="26"/>
                <w:lang w:eastAsia="ar-SA"/>
              </w:rPr>
              <w:t>Accord de financement</w:t>
            </w:r>
          </w:p>
        </w:tc>
        <w:tc>
          <w:tcPr>
            <w:tcW w:w="337" w:type="dxa"/>
            <w:vAlign w:val="center"/>
          </w:tcPr>
          <w:p w14:paraId="4EF074F3" w14:textId="77777777" w:rsidR="009039E9" w:rsidRPr="009039E9" w:rsidRDefault="009039E9" w:rsidP="009039E9">
            <w:pPr>
              <w:suppressAutoHyphens/>
              <w:rPr>
                <w:b/>
                <w:bCs/>
                <w:sz w:val="26"/>
                <w:szCs w:val="26"/>
                <w:lang w:eastAsia="ar-SA"/>
              </w:rPr>
            </w:pPr>
            <w:r w:rsidRPr="009039E9">
              <w:rPr>
                <w:b/>
                <w:bCs/>
                <w:sz w:val="26"/>
                <w:szCs w:val="26"/>
                <w:lang w:eastAsia="ar-SA"/>
              </w:rPr>
              <w:t>:</w:t>
            </w:r>
          </w:p>
        </w:tc>
        <w:tc>
          <w:tcPr>
            <w:tcW w:w="6751" w:type="dxa"/>
            <w:vAlign w:val="center"/>
          </w:tcPr>
          <w:p w14:paraId="79C36DA8" w14:textId="77777777" w:rsidR="009039E9" w:rsidRPr="009039E9" w:rsidRDefault="009039E9" w:rsidP="009039E9">
            <w:pPr>
              <w:ind w:left="-21" w:firstLine="21"/>
              <w:jc w:val="both"/>
              <w:rPr>
                <w:sz w:val="26"/>
                <w:szCs w:val="26"/>
                <w:lang w:eastAsia="da-DK"/>
              </w:rPr>
            </w:pPr>
            <w:r w:rsidRPr="009039E9">
              <w:rPr>
                <w:sz w:val="26"/>
                <w:szCs w:val="26"/>
                <w:lang w:eastAsia="da-DK"/>
              </w:rPr>
              <w:t>Accord de prêt BOAD : N°2024062/PR TG 2024 48 00</w:t>
            </w:r>
          </w:p>
          <w:p w14:paraId="5952CF00" w14:textId="77777777" w:rsidR="009039E9" w:rsidRPr="009039E9" w:rsidRDefault="009039E9" w:rsidP="009039E9">
            <w:pPr>
              <w:ind w:left="-21" w:firstLine="21"/>
              <w:jc w:val="both"/>
              <w:rPr>
                <w:sz w:val="26"/>
                <w:szCs w:val="26"/>
                <w:lang w:eastAsia="da-DK"/>
              </w:rPr>
            </w:pPr>
            <w:r w:rsidRPr="009039E9">
              <w:rPr>
                <w:sz w:val="26"/>
                <w:szCs w:val="26"/>
                <w:lang w:eastAsia="da-DK"/>
              </w:rPr>
              <w:t>Accord de prêt FDE : N° 2024070/FDE TG 2025 03 00</w:t>
            </w:r>
          </w:p>
        </w:tc>
      </w:tr>
      <w:tr w:rsidR="009039E9" w:rsidRPr="009039E9" w14:paraId="68161E9A" w14:textId="77777777" w:rsidTr="002D6626">
        <w:trPr>
          <w:trHeight w:val="850"/>
          <w:jc w:val="center"/>
        </w:trPr>
        <w:tc>
          <w:tcPr>
            <w:tcW w:w="2830" w:type="dxa"/>
            <w:vAlign w:val="center"/>
          </w:tcPr>
          <w:p w14:paraId="0D1EE332" w14:textId="77777777" w:rsidR="009039E9" w:rsidRPr="009039E9" w:rsidRDefault="009039E9" w:rsidP="009039E9">
            <w:pPr>
              <w:suppressAutoHyphens/>
              <w:rPr>
                <w:b/>
                <w:bCs/>
                <w:sz w:val="26"/>
                <w:szCs w:val="26"/>
                <w:lang w:eastAsia="ar-SA"/>
              </w:rPr>
            </w:pPr>
            <w:r w:rsidRPr="009039E9">
              <w:rPr>
                <w:b/>
                <w:bCs/>
                <w:sz w:val="26"/>
                <w:szCs w:val="26"/>
                <w:lang w:eastAsia="ar-SA"/>
              </w:rPr>
              <w:t>Nom du Marché</w:t>
            </w:r>
          </w:p>
        </w:tc>
        <w:tc>
          <w:tcPr>
            <w:tcW w:w="337" w:type="dxa"/>
            <w:vAlign w:val="center"/>
          </w:tcPr>
          <w:p w14:paraId="74FEA27E" w14:textId="77777777" w:rsidR="009039E9" w:rsidRPr="009039E9" w:rsidRDefault="009039E9" w:rsidP="009039E9">
            <w:pPr>
              <w:suppressAutoHyphens/>
              <w:rPr>
                <w:b/>
                <w:bCs/>
                <w:sz w:val="26"/>
                <w:szCs w:val="26"/>
                <w:lang w:eastAsia="ar-SA"/>
              </w:rPr>
            </w:pPr>
            <w:r w:rsidRPr="009039E9">
              <w:rPr>
                <w:b/>
                <w:bCs/>
                <w:sz w:val="26"/>
                <w:szCs w:val="26"/>
                <w:lang w:eastAsia="ar-SA"/>
              </w:rPr>
              <w:t>:</w:t>
            </w:r>
          </w:p>
        </w:tc>
        <w:tc>
          <w:tcPr>
            <w:tcW w:w="6751" w:type="dxa"/>
            <w:vAlign w:val="center"/>
          </w:tcPr>
          <w:p w14:paraId="67ACB7DA" w14:textId="77777777" w:rsidR="009039E9" w:rsidRPr="009039E9" w:rsidRDefault="009039E9" w:rsidP="009039E9">
            <w:pPr>
              <w:ind w:left="-21" w:firstLine="21"/>
              <w:jc w:val="both"/>
              <w:rPr>
                <w:sz w:val="26"/>
                <w:szCs w:val="26"/>
                <w:lang w:eastAsia="da-DK"/>
              </w:rPr>
            </w:pPr>
            <w:r w:rsidRPr="009039E9">
              <w:rPr>
                <w:sz w:val="26"/>
                <w:szCs w:val="26"/>
                <w:lang w:eastAsia="da-DK"/>
              </w:rPr>
              <w:t>Fourniture et travaux pour l’électrification rurale de 172 localités par extension de réseaux électriques moyenne et basse tension (Procédure Ouverte Internationale)</w:t>
            </w:r>
          </w:p>
        </w:tc>
      </w:tr>
      <w:tr w:rsidR="009039E9" w:rsidRPr="009039E9" w14:paraId="62453398" w14:textId="77777777" w:rsidTr="002D6626">
        <w:trPr>
          <w:trHeight w:val="850"/>
          <w:jc w:val="center"/>
        </w:trPr>
        <w:tc>
          <w:tcPr>
            <w:tcW w:w="2830" w:type="dxa"/>
            <w:vAlign w:val="center"/>
          </w:tcPr>
          <w:p w14:paraId="33A0F62D" w14:textId="77777777" w:rsidR="009039E9" w:rsidRPr="009039E9" w:rsidRDefault="009039E9" w:rsidP="009039E9">
            <w:pPr>
              <w:suppressAutoHyphens/>
              <w:rPr>
                <w:b/>
                <w:bCs/>
                <w:sz w:val="26"/>
                <w:szCs w:val="26"/>
                <w:lang w:eastAsia="ar-SA"/>
              </w:rPr>
            </w:pPr>
            <w:r w:rsidRPr="009039E9">
              <w:rPr>
                <w:b/>
                <w:bCs/>
                <w:sz w:val="26"/>
                <w:szCs w:val="26"/>
                <w:lang w:eastAsia="ar-SA"/>
              </w:rPr>
              <w:t>Numéro d’identification</w:t>
            </w:r>
          </w:p>
        </w:tc>
        <w:tc>
          <w:tcPr>
            <w:tcW w:w="337" w:type="dxa"/>
            <w:vAlign w:val="center"/>
          </w:tcPr>
          <w:p w14:paraId="4110FC55" w14:textId="77777777" w:rsidR="009039E9" w:rsidRPr="009039E9" w:rsidRDefault="009039E9" w:rsidP="009039E9">
            <w:pPr>
              <w:suppressAutoHyphens/>
              <w:rPr>
                <w:b/>
                <w:bCs/>
                <w:sz w:val="26"/>
                <w:szCs w:val="26"/>
                <w:lang w:eastAsia="ar-SA"/>
              </w:rPr>
            </w:pPr>
            <w:r w:rsidRPr="009039E9">
              <w:rPr>
                <w:b/>
                <w:bCs/>
                <w:sz w:val="26"/>
                <w:szCs w:val="26"/>
                <w:lang w:eastAsia="ar-SA"/>
              </w:rPr>
              <w:t>:</w:t>
            </w:r>
          </w:p>
        </w:tc>
        <w:tc>
          <w:tcPr>
            <w:tcW w:w="6751" w:type="dxa"/>
            <w:vAlign w:val="center"/>
          </w:tcPr>
          <w:p w14:paraId="43AD1681" w14:textId="14E4F657" w:rsidR="009039E9" w:rsidRPr="009039E9" w:rsidRDefault="009039E9" w:rsidP="009039E9">
            <w:pPr>
              <w:jc w:val="both"/>
              <w:rPr>
                <w:rFonts w:eastAsia="Calibri"/>
                <w:spacing w:val="80"/>
                <w:sz w:val="26"/>
                <w:szCs w:val="26"/>
                <w:lang w:val="pt-PT" w:eastAsia="en-US"/>
              </w:rPr>
            </w:pPr>
            <w:r w:rsidRPr="009039E9">
              <w:rPr>
                <w:rFonts w:eastAsia="Calibri Light"/>
                <w:sz w:val="26"/>
                <w:szCs w:val="26"/>
                <w:lang w:val="pt-PT" w:eastAsia="en-US"/>
              </w:rPr>
              <w:t>DAOI N°003/AT2ER/</w:t>
            </w:r>
            <w:r w:rsidR="006C419C">
              <w:rPr>
                <w:rFonts w:eastAsia="Calibri Light"/>
                <w:sz w:val="26"/>
                <w:szCs w:val="26"/>
                <w:lang w:val="pt-PT" w:eastAsia="en-US"/>
              </w:rPr>
              <w:t>PER 172/</w:t>
            </w:r>
            <w:r w:rsidRPr="009039E9">
              <w:rPr>
                <w:rFonts w:eastAsia="Calibri Light"/>
                <w:sz w:val="26"/>
                <w:szCs w:val="26"/>
                <w:lang w:val="pt-PT" w:eastAsia="en-US"/>
              </w:rPr>
              <w:t>PRMP/2025</w:t>
            </w:r>
          </w:p>
        </w:tc>
      </w:tr>
    </w:tbl>
    <w:p w14:paraId="13D93B2B" w14:textId="77777777" w:rsidR="009039E9" w:rsidRPr="009039E9" w:rsidRDefault="009039E9" w:rsidP="009039E9">
      <w:pPr>
        <w:spacing w:line="276" w:lineRule="auto"/>
        <w:jc w:val="center"/>
        <w:rPr>
          <w:rFonts w:eastAsia="Calibri"/>
          <w:b/>
          <w:lang w:val="pt-PT" w:eastAsia="en-US"/>
        </w:rPr>
      </w:pPr>
    </w:p>
    <w:p w14:paraId="0FBF9825" w14:textId="77777777" w:rsidR="009039E9" w:rsidRPr="009039E9" w:rsidRDefault="009039E9" w:rsidP="009039E9">
      <w:pPr>
        <w:spacing w:line="276" w:lineRule="auto"/>
        <w:contextualSpacing/>
        <w:jc w:val="center"/>
        <w:rPr>
          <w:rFonts w:eastAsia="Calibri"/>
          <w:b/>
          <w:lang w:eastAsia="en-US"/>
        </w:rPr>
      </w:pPr>
      <w:r w:rsidRPr="009039E9">
        <w:rPr>
          <w:rFonts w:eastAsia="Calibri"/>
          <w:b/>
          <w:lang w:eastAsia="en-US"/>
        </w:rPr>
        <w:t>DESCRIPTION DU PROJET</w:t>
      </w:r>
      <w:r w:rsidRPr="009039E9">
        <w:rPr>
          <w:rFonts w:eastAsia="Calibri"/>
          <w:b/>
          <w:lang w:eastAsia="en-US"/>
        </w:rPr>
        <w:br/>
      </w:r>
    </w:p>
    <w:p w14:paraId="443C8DC5" w14:textId="77777777" w:rsidR="009039E9" w:rsidRPr="009039E9" w:rsidRDefault="009039E9" w:rsidP="009039E9">
      <w:pPr>
        <w:keepNext/>
        <w:widowControl w:val="0"/>
        <w:numPr>
          <w:ilvl w:val="0"/>
          <w:numId w:val="20"/>
        </w:numPr>
        <w:suppressAutoHyphens/>
        <w:spacing w:before="100" w:after="100" w:line="360" w:lineRule="auto"/>
        <w:jc w:val="both"/>
        <w:outlineLvl w:val="0"/>
        <w:rPr>
          <w:rFonts w:eastAsia="SimSun"/>
          <w:color w:val="365F91"/>
          <w:lang w:eastAsia="en-US"/>
        </w:rPr>
      </w:pPr>
      <w:r w:rsidRPr="009039E9">
        <w:rPr>
          <w:rFonts w:eastAsia="SimSun"/>
          <w:b/>
          <w:lang w:eastAsia="en-US"/>
        </w:rPr>
        <w:t>Maître d’ouvrage</w:t>
      </w:r>
    </w:p>
    <w:p w14:paraId="62179F99" w14:textId="77777777" w:rsidR="009039E9" w:rsidRPr="009039E9" w:rsidRDefault="009039E9" w:rsidP="009039E9">
      <w:pPr>
        <w:widowControl w:val="0"/>
        <w:suppressAutoHyphens/>
        <w:spacing w:after="200" w:line="276" w:lineRule="auto"/>
        <w:jc w:val="both"/>
        <w:rPr>
          <w:rFonts w:eastAsia="Calibri"/>
          <w:lang w:eastAsia="en-US"/>
        </w:rPr>
      </w:pPr>
      <w:r w:rsidRPr="009039E9">
        <w:rPr>
          <w:rFonts w:eastAsia="Calibri"/>
          <w:lang w:eastAsia="en-US"/>
        </w:rPr>
        <w:t xml:space="preserve">Le Maître d’Ouvrage du projet est l’Etat Togolais représenté par le </w:t>
      </w:r>
      <w:proofErr w:type="gramStart"/>
      <w:r w:rsidRPr="009039E9">
        <w:rPr>
          <w:rFonts w:eastAsia="Calibri"/>
          <w:lang w:eastAsia="en-US"/>
        </w:rPr>
        <w:t>Ministère</w:t>
      </w:r>
      <w:proofErr w:type="gramEnd"/>
      <w:r w:rsidRPr="009039E9">
        <w:rPr>
          <w:rFonts w:eastAsia="Calibri"/>
          <w:lang w:eastAsia="en-US"/>
        </w:rPr>
        <w:t xml:space="preserve"> des Mines et des Ressources Energétiques. La Maîtrise d’Ouvrage Déléguée (MOD) est assurée par l’Agence Togolaise d’électrification Rurale et des Energies Renouvelables (AT2ER).</w:t>
      </w:r>
    </w:p>
    <w:p w14:paraId="3F52930A" w14:textId="77777777" w:rsidR="009039E9" w:rsidRPr="009039E9" w:rsidRDefault="009039E9" w:rsidP="009039E9">
      <w:pPr>
        <w:keepNext/>
        <w:widowControl w:val="0"/>
        <w:suppressAutoHyphens/>
        <w:spacing w:before="100" w:after="100" w:line="276" w:lineRule="auto"/>
        <w:ind w:left="432"/>
        <w:jc w:val="both"/>
        <w:outlineLvl w:val="0"/>
        <w:rPr>
          <w:rFonts w:eastAsia="SimSun"/>
          <w:b/>
          <w:lang w:eastAsia="en-US"/>
        </w:rPr>
      </w:pPr>
      <w:r w:rsidRPr="009039E9">
        <w:rPr>
          <w:rFonts w:eastAsia="SimSun"/>
          <w:b/>
          <w:lang w:eastAsia="en-US"/>
        </w:rPr>
        <w:t>2. Description du marché</w:t>
      </w:r>
    </w:p>
    <w:p w14:paraId="5DDFB408" w14:textId="77777777" w:rsidR="009039E9" w:rsidRPr="009039E9" w:rsidRDefault="009039E9" w:rsidP="009039E9">
      <w:pPr>
        <w:spacing w:after="200" w:line="276" w:lineRule="auto"/>
        <w:jc w:val="both"/>
        <w:rPr>
          <w:rFonts w:eastAsia="Calibri"/>
          <w:lang w:eastAsia="en-US"/>
        </w:rPr>
      </w:pPr>
      <w:r w:rsidRPr="009039E9">
        <w:rPr>
          <w:rFonts w:eastAsia="Calibri"/>
          <w:lang w:eastAsia="en-US"/>
        </w:rPr>
        <w:t>Le Gouvernement togolais a sollicité et obtenu auprès de la Banque Ouest Africaine de Développement (BOAD) des fonds, afin de financer le projet d’électrification rurale de 172 localités par extension du réseau électrique de distribution moyenne et basse tension au Togo, et a l’intention d’utiliser une partie de ces fonds pour effectuer des paiements au titre du Marché relatif audit projet. Les Travaux seront exécutés au Togo dans un délai de 18 mois</w:t>
      </w:r>
      <w:r w:rsidRPr="009039E9">
        <w:rPr>
          <w:rFonts w:eastAsia="Calibri"/>
          <w:i/>
          <w:lang w:eastAsia="en-US"/>
        </w:rPr>
        <w:t>.</w:t>
      </w:r>
      <w:r w:rsidRPr="009039E9">
        <w:rPr>
          <w:rFonts w:eastAsia="Calibri"/>
          <w:lang w:eastAsia="en-US"/>
        </w:rPr>
        <w:t xml:space="preserve"> Les travaux porteront sur la fourniture et la pose, dans les 172 localités, de (i) réseaux aériens Moyenne Tension (HTA) ; (ii) postes de transformateurs HTA/BT ; (iii) réseaux aériens Basse Tension (BT) avec Eclairage Public (EP) et (iv) kits de branchements.</w:t>
      </w:r>
    </w:p>
    <w:p w14:paraId="6A0A8918" w14:textId="77777777" w:rsidR="009039E9" w:rsidRPr="009039E9" w:rsidRDefault="009039E9" w:rsidP="009039E9">
      <w:pPr>
        <w:keepNext/>
        <w:widowControl w:val="0"/>
        <w:suppressAutoHyphens/>
        <w:spacing w:before="100" w:after="100"/>
        <w:ind w:left="432"/>
        <w:jc w:val="both"/>
        <w:outlineLvl w:val="0"/>
        <w:rPr>
          <w:rFonts w:eastAsia="SimSun"/>
          <w:b/>
          <w:lang w:eastAsia="en-US"/>
        </w:rPr>
      </w:pPr>
      <w:r w:rsidRPr="009039E9">
        <w:rPr>
          <w:rFonts w:eastAsia="SimSun"/>
          <w:b/>
          <w:lang w:eastAsia="en-US"/>
        </w:rPr>
        <w:t>3. Nombre et intitulés des lots</w:t>
      </w:r>
    </w:p>
    <w:p w14:paraId="313A5707" w14:textId="77777777" w:rsidR="009039E9" w:rsidRPr="009039E9" w:rsidRDefault="009039E9" w:rsidP="009039E9">
      <w:pPr>
        <w:spacing w:after="120" w:line="276" w:lineRule="auto"/>
        <w:jc w:val="both"/>
        <w:rPr>
          <w:rFonts w:eastAsia="Calibri"/>
          <w:lang w:eastAsia="en-US"/>
        </w:rPr>
      </w:pPr>
      <w:r w:rsidRPr="009039E9">
        <w:rPr>
          <w:rFonts w:eastAsia="Calibri"/>
          <w:lang w:eastAsia="en-US"/>
        </w:rPr>
        <w:t xml:space="preserve"> Le nombre et l’identification des lots comprenant ce DAO sont les suivants : </w:t>
      </w:r>
    </w:p>
    <w:p w14:paraId="2629844E" w14:textId="77777777" w:rsidR="009039E9" w:rsidRPr="009039E9" w:rsidRDefault="009039E9" w:rsidP="009039E9">
      <w:pPr>
        <w:numPr>
          <w:ilvl w:val="6"/>
          <w:numId w:val="14"/>
        </w:numPr>
        <w:spacing w:after="120" w:line="276" w:lineRule="auto"/>
        <w:ind w:left="580" w:hanging="141"/>
        <w:jc w:val="both"/>
        <w:rPr>
          <w:rFonts w:eastAsia="Calibri"/>
          <w:b/>
          <w:bCs/>
          <w:lang w:eastAsia="en-US"/>
        </w:rPr>
      </w:pPr>
      <w:bookmarkStart w:id="0" w:name="_Hlk179464952"/>
      <w:r w:rsidRPr="009039E9">
        <w:rPr>
          <w:rFonts w:eastAsia="Calibri"/>
          <w:b/>
          <w:bCs/>
          <w:lang w:eastAsia="en-US"/>
        </w:rPr>
        <w:lastRenderedPageBreak/>
        <w:t xml:space="preserve">Lot N°1 : Fourniture et travaux de construction de réseaux électriques moyenne tension (MT) et basse tension (BT) dans 74 localités de la région des Savanes ; </w:t>
      </w:r>
    </w:p>
    <w:p w14:paraId="21C5793B" w14:textId="77777777" w:rsidR="009039E9" w:rsidRPr="009039E9" w:rsidRDefault="009039E9" w:rsidP="009039E9">
      <w:pPr>
        <w:numPr>
          <w:ilvl w:val="6"/>
          <w:numId w:val="14"/>
        </w:numPr>
        <w:spacing w:after="120" w:line="276" w:lineRule="auto"/>
        <w:ind w:left="580" w:hanging="141"/>
        <w:jc w:val="both"/>
        <w:rPr>
          <w:rFonts w:eastAsia="Calibri"/>
          <w:b/>
          <w:bCs/>
          <w:lang w:eastAsia="en-US"/>
        </w:rPr>
      </w:pPr>
      <w:bookmarkStart w:id="1" w:name="_Hlk179466812"/>
      <w:bookmarkEnd w:id="0"/>
      <w:r w:rsidRPr="009039E9">
        <w:rPr>
          <w:rFonts w:eastAsia="Calibri"/>
          <w:b/>
          <w:bCs/>
          <w:lang w:eastAsia="en-US"/>
        </w:rPr>
        <w:t>Lot N°2 : Fourniture et travaux de construction de réseaux électriques moyenne tension (MT) et basse tension (BT) dans 18 localités de la région de la Kara ;</w:t>
      </w:r>
    </w:p>
    <w:bookmarkEnd w:id="1"/>
    <w:p w14:paraId="2FC89E8E" w14:textId="77777777" w:rsidR="009039E9" w:rsidRPr="009039E9" w:rsidRDefault="009039E9" w:rsidP="009039E9">
      <w:pPr>
        <w:numPr>
          <w:ilvl w:val="6"/>
          <w:numId w:val="14"/>
        </w:numPr>
        <w:spacing w:after="120" w:line="276" w:lineRule="auto"/>
        <w:ind w:left="580" w:hanging="141"/>
        <w:jc w:val="both"/>
        <w:rPr>
          <w:rFonts w:eastAsia="Calibri"/>
          <w:b/>
          <w:bCs/>
          <w:lang w:eastAsia="en-US"/>
        </w:rPr>
      </w:pPr>
      <w:r w:rsidRPr="009039E9">
        <w:rPr>
          <w:rFonts w:eastAsia="Calibri"/>
          <w:b/>
          <w:bCs/>
          <w:lang w:eastAsia="en-US"/>
        </w:rPr>
        <w:t>Lot N°3 : Fourniture et travaux de construction de réseaux électriques moyenne tension (MT) et basse tension (BT) dans 10 localités de la région Centrale ;</w:t>
      </w:r>
    </w:p>
    <w:p w14:paraId="3E778A6C" w14:textId="77777777" w:rsidR="009039E9" w:rsidRPr="009039E9" w:rsidRDefault="009039E9" w:rsidP="009039E9">
      <w:pPr>
        <w:numPr>
          <w:ilvl w:val="6"/>
          <w:numId w:val="14"/>
        </w:numPr>
        <w:spacing w:after="120" w:line="276" w:lineRule="auto"/>
        <w:ind w:left="580" w:hanging="141"/>
        <w:jc w:val="both"/>
        <w:rPr>
          <w:rFonts w:eastAsia="Calibri"/>
          <w:b/>
          <w:bCs/>
          <w:lang w:eastAsia="en-US"/>
        </w:rPr>
      </w:pPr>
      <w:r w:rsidRPr="009039E9">
        <w:rPr>
          <w:rFonts w:eastAsia="Calibri"/>
          <w:b/>
          <w:bCs/>
          <w:lang w:eastAsia="en-US"/>
        </w:rPr>
        <w:t>Lot N°4 : Fourniture et travaux de construction de réseaux électriques moyenne tension (MT) et basse tension (BT) dans 57 localités de la région des Plateaux ;</w:t>
      </w:r>
    </w:p>
    <w:p w14:paraId="0B062D1A" w14:textId="77777777" w:rsidR="009039E9" w:rsidRPr="009039E9" w:rsidRDefault="009039E9" w:rsidP="009039E9">
      <w:pPr>
        <w:numPr>
          <w:ilvl w:val="6"/>
          <w:numId w:val="14"/>
        </w:numPr>
        <w:spacing w:after="120" w:line="276" w:lineRule="auto"/>
        <w:ind w:left="580" w:hanging="141"/>
        <w:jc w:val="both"/>
        <w:rPr>
          <w:rFonts w:eastAsia="Calibri"/>
          <w:lang w:eastAsia="en-US"/>
        </w:rPr>
      </w:pPr>
      <w:r w:rsidRPr="009039E9">
        <w:rPr>
          <w:rFonts w:eastAsia="Calibri"/>
          <w:b/>
          <w:bCs/>
          <w:lang w:eastAsia="en-US"/>
        </w:rPr>
        <w:t>Lot N°5 : Fourniture et travaux de construction de réseaux électriques moyenne tension (MT) et basse tension (BT) dans 13 localités de la région Maritime</w:t>
      </w:r>
    </w:p>
    <w:p w14:paraId="06FCE616" w14:textId="77777777" w:rsidR="009039E9" w:rsidRPr="009039E9" w:rsidRDefault="009039E9" w:rsidP="009039E9">
      <w:pPr>
        <w:numPr>
          <w:ilvl w:val="6"/>
          <w:numId w:val="14"/>
        </w:numPr>
        <w:spacing w:after="120" w:line="276" w:lineRule="auto"/>
        <w:ind w:left="580" w:hanging="141"/>
        <w:jc w:val="both"/>
        <w:rPr>
          <w:rFonts w:eastAsia="Calibri"/>
          <w:lang w:eastAsia="en-US"/>
        </w:rPr>
      </w:pPr>
      <w:r w:rsidRPr="009039E9">
        <w:rPr>
          <w:rFonts w:eastAsia="Calibri"/>
          <w:b/>
          <w:bCs/>
          <w:lang w:eastAsia="en-US"/>
        </w:rPr>
        <w:t>Lot N°6 : Fourniture de</w:t>
      </w:r>
      <w:r w:rsidRPr="009039E9">
        <w:rPr>
          <w:rFonts w:eastAsia="Calibri"/>
          <w:lang w:eastAsia="en-US"/>
        </w:rPr>
        <w:t xml:space="preserve"> </w:t>
      </w:r>
      <w:r w:rsidRPr="009039E9">
        <w:rPr>
          <w:rFonts w:eastAsia="Calibri"/>
          <w:b/>
          <w:bCs/>
          <w:lang w:eastAsia="en-US"/>
        </w:rPr>
        <w:t>6 758 kits de branchements prépayés monophasés et de 448 kits de branchements prépayés triphasés.</w:t>
      </w:r>
    </w:p>
    <w:p w14:paraId="2F1390D7" w14:textId="77777777" w:rsidR="009039E9" w:rsidRPr="0043315A" w:rsidRDefault="009039E9" w:rsidP="009039E9">
      <w:pPr>
        <w:ind w:left="580"/>
        <w:jc w:val="both"/>
        <w:rPr>
          <w:rFonts w:eastAsia="Calibri"/>
          <w:sz w:val="12"/>
          <w:szCs w:val="12"/>
          <w:lang w:eastAsia="en-US"/>
        </w:rPr>
      </w:pPr>
    </w:p>
    <w:p w14:paraId="1CA86073" w14:textId="77777777" w:rsidR="009039E9" w:rsidRPr="009039E9" w:rsidRDefault="009039E9" w:rsidP="009039E9">
      <w:pPr>
        <w:spacing w:after="120"/>
        <w:ind w:left="439"/>
        <w:jc w:val="both"/>
        <w:rPr>
          <w:rFonts w:eastAsia="Calibri"/>
          <w:lang w:eastAsia="en-US"/>
        </w:rPr>
      </w:pPr>
      <w:r w:rsidRPr="009039E9">
        <w:rPr>
          <w:rFonts w:eastAsia="Calibri"/>
          <w:lang w:eastAsia="en-US"/>
        </w:rPr>
        <w:t>Le résumé des infrastructures est résumé dans le tableau suivant :</w:t>
      </w:r>
    </w:p>
    <w:tbl>
      <w:tblPr>
        <w:tblStyle w:val="Grilledutableau"/>
        <w:tblW w:w="0" w:type="auto"/>
        <w:tblLook w:val="04A0" w:firstRow="1" w:lastRow="0" w:firstColumn="1" w:lastColumn="0" w:noHBand="0" w:noVBand="1"/>
      </w:tblPr>
      <w:tblGrid>
        <w:gridCol w:w="1946"/>
        <w:gridCol w:w="1947"/>
        <w:gridCol w:w="1947"/>
        <w:gridCol w:w="1948"/>
        <w:gridCol w:w="1948"/>
      </w:tblGrid>
      <w:tr w:rsidR="009039E9" w:rsidRPr="009039E9" w14:paraId="2365323A" w14:textId="77777777" w:rsidTr="002D6626">
        <w:tc>
          <w:tcPr>
            <w:tcW w:w="1949" w:type="dxa"/>
            <w:vAlign w:val="center"/>
          </w:tcPr>
          <w:p w14:paraId="0288D52D" w14:textId="77777777" w:rsidR="009039E9" w:rsidRPr="009039E9" w:rsidRDefault="009039E9" w:rsidP="009039E9">
            <w:pPr>
              <w:spacing w:after="120"/>
              <w:jc w:val="center"/>
              <w:rPr>
                <w:rFonts w:eastAsia="Calibri"/>
                <w:b/>
                <w:bCs/>
                <w:sz w:val="22"/>
                <w:szCs w:val="22"/>
                <w:lang w:eastAsia="en-US"/>
              </w:rPr>
            </w:pPr>
            <w:r w:rsidRPr="009039E9">
              <w:rPr>
                <w:rFonts w:eastAsia="Calibri"/>
                <w:b/>
                <w:bCs/>
                <w:sz w:val="22"/>
                <w:szCs w:val="22"/>
                <w:lang w:eastAsia="en-US"/>
              </w:rPr>
              <w:t>Lots</w:t>
            </w:r>
          </w:p>
        </w:tc>
        <w:tc>
          <w:tcPr>
            <w:tcW w:w="1949" w:type="dxa"/>
            <w:vAlign w:val="center"/>
          </w:tcPr>
          <w:p w14:paraId="5666D811" w14:textId="77777777" w:rsidR="009039E9" w:rsidRPr="009039E9" w:rsidRDefault="009039E9" w:rsidP="009039E9">
            <w:pPr>
              <w:spacing w:after="120"/>
              <w:jc w:val="center"/>
              <w:rPr>
                <w:rFonts w:eastAsia="Calibri"/>
                <w:b/>
                <w:bCs/>
                <w:sz w:val="22"/>
                <w:szCs w:val="22"/>
                <w:lang w:eastAsia="en-US"/>
              </w:rPr>
            </w:pPr>
            <w:r w:rsidRPr="009039E9">
              <w:rPr>
                <w:rFonts w:eastAsia="Calibri"/>
                <w:b/>
                <w:bCs/>
                <w:sz w:val="22"/>
                <w:szCs w:val="22"/>
                <w:lang w:eastAsia="en-US"/>
              </w:rPr>
              <w:t>Linéaire de ligne MT (km)</w:t>
            </w:r>
          </w:p>
        </w:tc>
        <w:tc>
          <w:tcPr>
            <w:tcW w:w="1949" w:type="dxa"/>
            <w:vAlign w:val="center"/>
          </w:tcPr>
          <w:p w14:paraId="427BF146" w14:textId="77777777" w:rsidR="009039E9" w:rsidRPr="009039E9" w:rsidRDefault="009039E9" w:rsidP="009039E9">
            <w:pPr>
              <w:spacing w:after="120"/>
              <w:jc w:val="center"/>
              <w:rPr>
                <w:rFonts w:eastAsia="Calibri"/>
                <w:b/>
                <w:bCs/>
                <w:sz w:val="22"/>
                <w:szCs w:val="22"/>
                <w:lang w:eastAsia="en-US"/>
              </w:rPr>
            </w:pPr>
            <w:r w:rsidRPr="009039E9">
              <w:rPr>
                <w:rFonts w:eastAsia="Calibri"/>
                <w:b/>
                <w:bCs/>
                <w:sz w:val="22"/>
                <w:szCs w:val="22"/>
                <w:lang w:eastAsia="en-US"/>
              </w:rPr>
              <w:t>Linéaire de ligne BT (km)</w:t>
            </w:r>
          </w:p>
        </w:tc>
        <w:tc>
          <w:tcPr>
            <w:tcW w:w="1950" w:type="dxa"/>
            <w:vAlign w:val="center"/>
          </w:tcPr>
          <w:p w14:paraId="27E3E6E5" w14:textId="77777777" w:rsidR="009039E9" w:rsidRPr="009039E9" w:rsidRDefault="009039E9" w:rsidP="009039E9">
            <w:pPr>
              <w:spacing w:after="120"/>
              <w:jc w:val="center"/>
              <w:rPr>
                <w:rFonts w:eastAsia="Calibri"/>
                <w:b/>
                <w:bCs/>
                <w:sz w:val="22"/>
                <w:szCs w:val="22"/>
                <w:lang w:eastAsia="en-US"/>
              </w:rPr>
            </w:pPr>
            <w:r w:rsidRPr="009039E9">
              <w:rPr>
                <w:rFonts w:eastAsia="Calibri"/>
                <w:b/>
                <w:bCs/>
                <w:sz w:val="22"/>
                <w:szCs w:val="22"/>
                <w:lang w:eastAsia="en-US"/>
              </w:rPr>
              <w:t>Nombre de postes H61</w:t>
            </w:r>
          </w:p>
        </w:tc>
        <w:tc>
          <w:tcPr>
            <w:tcW w:w="1950" w:type="dxa"/>
            <w:vAlign w:val="center"/>
          </w:tcPr>
          <w:p w14:paraId="6D1D9836" w14:textId="77777777" w:rsidR="009039E9" w:rsidRPr="009039E9" w:rsidRDefault="009039E9" w:rsidP="009039E9">
            <w:pPr>
              <w:spacing w:after="120"/>
              <w:jc w:val="center"/>
              <w:rPr>
                <w:rFonts w:eastAsia="Calibri"/>
                <w:b/>
                <w:bCs/>
                <w:sz w:val="22"/>
                <w:szCs w:val="22"/>
                <w:lang w:eastAsia="en-US"/>
              </w:rPr>
            </w:pPr>
            <w:r w:rsidRPr="009039E9">
              <w:rPr>
                <w:rFonts w:eastAsia="Calibri"/>
                <w:b/>
                <w:bCs/>
                <w:sz w:val="22"/>
                <w:szCs w:val="22"/>
                <w:lang w:eastAsia="en-US"/>
              </w:rPr>
              <w:t>Nombre de points d’éclairage public</w:t>
            </w:r>
          </w:p>
        </w:tc>
      </w:tr>
      <w:tr w:rsidR="009039E9" w:rsidRPr="009039E9" w14:paraId="4D87010A" w14:textId="77777777" w:rsidTr="002D6626">
        <w:tc>
          <w:tcPr>
            <w:tcW w:w="1949" w:type="dxa"/>
          </w:tcPr>
          <w:p w14:paraId="7C44900B" w14:textId="77777777" w:rsidR="009039E9" w:rsidRPr="009039E9" w:rsidRDefault="009039E9" w:rsidP="009039E9">
            <w:pPr>
              <w:spacing w:after="120"/>
              <w:jc w:val="both"/>
              <w:rPr>
                <w:rFonts w:eastAsia="Calibri"/>
                <w:lang w:eastAsia="en-US"/>
              </w:rPr>
            </w:pPr>
            <w:r w:rsidRPr="009039E9">
              <w:rPr>
                <w:rFonts w:eastAsia="Calibri"/>
                <w:lang w:eastAsia="en-US"/>
              </w:rPr>
              <w:t>Lot 1</w:t>
            </w:r>
          </w:p>
        </w:tc>
        <w:tc>
          <w:tcPr>
            <w:tcW w:w="1949" w:type="dxa"/>
            <w:vAlign w:val="center"/>
          </w:tcPr>
          <w:p w14:paraId="6D56DFF1" w14:textId="77777777" w:rsidR="009039E9" w:rsidRPr="009039E9" w:rsidRDefault="009039E9" w:rsidP="009039E9">
            <w:pPr>
              <w:spacing w:after="120"/>
              <w:jc w:val="center"/>
              <w:rPr>
                <w:rFonts w:eastAsia="Calibri"/>
                <w:lang w:eastAsia="en-US"/>
              </w:rPr>
            </w:pPr>
            <w:r w:rsidRPr="009039E9">
              <w:rPr>
                <w:rFonts w:eastAsia="Calibri"/>
                <w:lang w:eastAsia="en-US"/>
              </w:rPr>
              <w:t>306,33</w:t>
            </w:r>
          </w:p>
        </w:tc>
        <w:tc>
          <w:tcPr>
            <w:tcW w:w="1949" w:type="dxa"/>
            <w:vAlign w:val="center"/>
          </w:tcPr>
          <w:p w14:paraId="38DA1AC2" w14:textId="77777777" w:rsidR="009039E9" w:rsidRPr="009039E9" w:rsidRDefault="009039E9" w:rsidP="009039E9">
            <w:pPr>
              <w:spacing w:after="120"/>
              <w:jc w:val="center"/>
              <w:rPr>
                <w:rFonts w:eastAsia="Calibri"/>
                <w:lang w:eastAsia="en-US"/>
              </w:rPr>
            </w:pPr>
            <w:r w:rsidRPr="009039E9">
              <w:rPr>
                <w:rFonts w:eastAsia="Calibri"/>
                <w:lang w:eastAsia="en-US"/>
              </w:rPr>
              <w:t>173,65</w:t>
            </w:r>
          </w:p>
        </w:tc>
        <w:tc>
          <w:tcPr>
            <w:tcW w:w="1950" w:type="dxa"/>
            <w:vAlign w:val="center"/>
          </w:tcPr>
          <w:p w14:paraId="22416835" w14:textId="77777777" w:rsidR="009039E9" w:rsidRPr="009039E9" w:rsidRDefault="009039E9" w:rsidP="009039E9">
            <w:pPr>
              <w:spacing w:after="120"/>
              <w:jc w:val="center"/>
              <w:rPr>
                <w:rFonts w:eastAsia="Calibri"/>
                <w:lang w:eastAsia="en-US"/>
              </w:rPr>
            </w:pPr>
            <w:r w:rsidRPr="009039E9">
              <w:rPr>
                <w:rFonts w:eastAsia="Calibri"/>
                <w:lang w:eastAsia="en-US"/>
              </w:rPr>
              <w:t>75</w:t>
            </w:r>
          </w:p>
        </w:tc>
        <w:tc>
          <w:tcPr>
            <w:tcW w:w="1950" w:type="dxa"/>
            <w:vAlign w:val="center"/>
          </w:tcPr>
          <w:p w14:paraId="42478A07" w14:textId="77777777" w:rsidR="009039E9" w:rsidRPr="009039E9" w:rsidRDefault="009039E9" w:rsidP="009039E9">
            <w:pPr>
              <w:spacing w:after="120"/>
              <w:jc w:val="center"/>
              <w:rPr>
                <w:rFonts w:eastAsia="Calibri"/>
                <w:lang w:eastAsia="en-US"/>
              </w:rPr>
            </w:pPr>
            <w:r w:rsidRPr="009039E9">
              <w:rPr>
                <w:rFonts w:eastAsia="Calibri"/>
                <w:lang w:eastAsia="en-US"/>
              </w:rPr>
              <w:t>2 234</w:t>
            </w:r>
          </w:p>
        </w:tc>
      </w:tr>
      <w:tr w:rsidR="009039E9" w:rsidRPr="009039E9" w14:paraId="49CAEAAE" w14:textId="77777777" w:rsidTr="002D6626">
        <w:tc>
          <w:tcPr>
            <w:tcW w:w="1949" w:type="dxa"/>
          </w:tcPr>
          <w:p w14:paraId="4F3FB5F2" w14:textId="77777777" w:rsidR="009039E9" w:rsidRPr="009039E9" w:rsidRDefault="009039E9" w:rsidP="009039E9">
            <w:pPr>
              <w:spacing w:after="120"/>
              <w:jc w:val="both"/>
              <w:rPr>
                <w:rFonts w:eastAsia="Calibri"/>
                <w:lang w:eastAsia="en-US"/>
              </w:rPr>
            </w:pPr>
            <w:r w:rsidRPr="009039E9">
              <w:rPr>
                <w:rFonts w:eastAsia="Calibri"/>
                <w:lang w:eastAsia="en-US"/>
              </w:rPr>
              <w:t>Lot 2</w:t>
            </w:r>
          </w:p>
        </w:tc>
        <w:tc>
          <w:tcPr>
            <w:tcW w:w="1949" w:type="dxa"/>
            <w:vAlign w:val="center"/>
          </w:tcPr>
          <w:p w14:paraId="5A33F288" w14:textId="77777777" w:rsidR="009039E9" w:rsidRPr="009039E9" w:rsidRDefault="009039E9" w:rsidP="009039E9">
            <w:pPr>
              <w:spacing w:after="120"/>
              <w:jc w:val="center"/>
              <w:rPr>
                <w:rFonts w:eastAsia="Calibri"/>
                <w:lang w:eastAsia="en-US"/>
              </w:rPr>
            </w:pPr>
            <w:r w:rsidRPr="009039E9">
              <w:rPr>
                <w:rFonts w:eastAsia="Calibri"/>
                <w:lang w:eastAsia="en-US"/>
              </w:rPr>
              <w:t>168,30</w:t>
            </w:r>
          </w:p>
        </w:tc>
        <w:tc>
          <w:tcPr>
            <w:tcW w:w="1949" w:type="dxa"/>
            <w:vAlign w:val="center"/>
          </w:tcPr>
          <w:p w14:paraId="15EC41A5" w14:textId="77777777" w:rsidR="009039E9" w:rsidRPr="009039E9" w:rsidRDefault="009039E9" w:rsidP="009039E9">
            <w:pPr>
              <w:spacing w:after="120"/>
              <w:jc w:val="center"/>
              <w:rPr>
                <w:rFonts w:eastAsia="Calibri"/>
                <w:lang w:eastAsia="en-US"/>
              </w:rPr>
            </w:pPr>
            <w:r w:rsidRPr="009039E9">
              <w:rPr>
                <w:rFonts w:eastAsia="Calibri"/>
                <w:lang w:eastAsia="en-US"/>
              </w:rPr>
              <w:t>31,30</w:t>
            </w:r>
          </w:p>
        </w:tc>
        <w:tc>
          <w:tcPr>
            <w:tcW w:w="1950" w:type="dxa"/>
            <w:vAlign w:val="center"/>
          </w:tcPr>
          <w:p w14:paraId="239F228C" w14:textId="77777777" w:rsidR="009039E9" w:rsidRPr="009039E9" w:rsidRDefault="009039E9" w:rsidP="009039E9">
            <w:pPr>
              <w:spacing w:after="120"/>
              <w:jc w:val="center"/>
              <w:rPr>
                <w:rFonts w:eastAsia="Calibri"/>
                <w:lang w:eastAsia="en-US"/>
              </w:rPr>
            </w:pPr>
            <w:r w:rsidRPr="009039E9">
              <w:rPr>
                <w:rFonts w:eastAsia="Calibri"/>
                <w:lang w:eastAsia="en-US"/>
              </w:rPr>
              <w:t>18</w:t>
            </w:r>
          </w:p>
        </w:tc>
        <w:tc>
          <w:tcPr>
            <w:tcW w:w="1950" w:type="dxa"/>
            <w:vAlign w:val="center"/>
          </w:tcPr>
          <w:p w14:paraId="2AFD12E7" w14:textId="77777777" w:rsidR="009039E9" w:rsidRPr="009039E9" w:rsidRDefault="009039E9" w:rsidP="009039E9">
            <w:pPr>
              <w:spacing w:after="120"/>
              <w:jc w:val="center"/>
              <w:rPr>
                <w:rFonts w:eastAsia="Calibri"/>
                <w:lang w:eastAsia="en-US"/>
              </w:rPr>
            </w:pPr>
            <w:r w:rsidRPr="009039E9">
              <w:rPr>
                <w:rFonts w:eastAsia="Calibri"/>
                <w:lang w:eastAsia="en-US"/>
              </w:rPr>
              <w:t>368</w:t>
            </w:r>
          </w:p>
        </w:tc>
      </w:tr>
      <w:tr w:rsidR="009039E9" w:rsidRPr="009039E9" w14:paraId="3EE9847D" w14:textId="77777777" w:rsidTr="002D6626">
        <w:tc>
          <w:tcPr>
            <w:tcW w:w="1949" w:type="dxa"/>
          </w:tcPr>
          <w:p w14:paraId="0899E8FC" w14:textId="77777777" w:rsidR="009039E9" w:rsidRPr="009039E9" w:rsidRDefault="009039E9" w:rsidP="009039E9">
            <w:pPr>
              <w:spacing w:after="120"/>
              <w:jc w:val="both"/>
              <w:rPr>
                <w:rFonts w:eastAsia="Calibri"/>
                <w:lang w:eastAsia="en-US"/>
              </w:rPr>
            </w:pPr>
            <w:r w:rsidRPr="009039E9">
              <w:rPr>
                <w:rFonts w:eastAsia="Calibri"/>
                <w:lang w:eastAsia="en-US"/>
              </w:rPr>
              <w:t>Lot 3</w:t>
            </w:r>
          </w:p>
        </w:tc>
        <w:tc>
          <w:tcPr>
            <w:tcW w:w="1949" w:type="dxa"/>
            <w:vAlign w:val="center"/>
          </w:tcPr>
          <w:p w14:paraId="138BC1DF" w14:textId="77777777" w:rsidR="009039E9" w:rsidRPr="009039E9" w:rsidRDefault="009039E9" w:rsidP="009039E9">
            <w:pPr>
              <w:spacing w:after="120"/>
              <w:jc w:val="center"/>
              <w:rPr>
                <w:rFonts w:eastAsia="Calibri"/>
                <w:lang w:eastAsia="en-US"/>
              </w:rPr>
            </w:pPr>
            <w:r w:rsidRPr="009039E9">
              <w:rPr>
                <w:rFonts w:eastAsia="Calibri"/>
                <w:lang w:eastAsia="en-US"/>
              </w:rPr>
              <w:t>145,48</w:t>
            </w:r>
          </w:p>
        </w:tc>
        <w:tc>
          <w:tcPr>
            <w:tcW w:w="1949" w:type="dxa"/>
            <w:vAlign w:val="center"/>
          </w:tcPr>
          <w:p w14:paraId="739955EF" w14:textId="77777777" w:rsidR="009039E9" w:rsidRPr="009039E9" w:rsidRDefault="009039E9" w:rsidP="009039E9">
            <w:pPr>
              <w:spacing w:after="120"/>
              <w:jc w:val="center"/>
              <w:rPr>
                <w:rFonts w:eastAsia="Calibri"/>
                <w:lang w:eastAsia="en-US"/>
              </w:rPr>
            </w:pPr>
            <w:r w:rsidRPr="009039E9">
              <w:rPr>
                <w:rFonts w:eastAsia="Calibri"/>
                <w:lang w:eastAsia="en-US"/>
              </w:rPr>
              <w:t>18,11</w:t>
            </w:r>
          </w:p>
        </w:tc>
        <w:tc>
          <w:tcPr>
            <w:tcW w:w="1950" w:type="dxa"/>
            <w:vAlign w:val="center"/>
          </w:tcPr>
          <w:p w14:paraId="5C82AE6E" w14:textId="77777777" w:rsidR="009039E9" w:rsidRPr="009039E9" w:rsidRDefault="009039E9" w:rsidP="009039E9">
            <w:pPr>
              <w:spacing w:after="120"/>
              <w:jc w:val="center"/>
              <w:rPr>
                <w:rFonts w:eastAsia="Calibri"/>
                <w:lang w:eastAsia="en-US"/>
              </w:rPr>
            </w:pPr>
            <w:r w:rsidRPr="009039E9">
              <w:rPr>
                <w:rFonts w:eastAsia="Calibri"/>
                <w:lang w:eastAsia="en-US"/>
              </w:rPr>
              <w:t>10</w:t>
            </w:r>
          </w:p>
        </w:tc>
        <w:tc>
          <w:tcPr>
            <w:tcW w:w="1950" w:type="dxa"/>
            <w:vAlign w:val="center"/>
          </w:tcPr>
          <w:p w14:paraId="1C6A8E80" w14:textId="77777777" w:rsidR="009039E9" w:rsidRPr="009039E9" w:rsidRDefault="009039E9" w:rsidP="009039E9">
            <w:pPr>
              <w:spacing w:after="120"/>
              <w:jc w:val="center"/>
              <w:rPr>
                <w:rFonts w:eastAsia="Calibri"/>
                <w:lang w:eastAsia="en-US"/>
              </w:rPr>
            </w:pPr>
            <w:r w:rsidRPr="009039E9">
              <w:rPr>
                <w:rFonts w:eastAsia="Calibri"/>
                <w:lang w:eastAsia="en-US"/>
              </w:rPr>
              <w:t>240</w:t>
            </w:r>
          </w:p>
        </w:tc>
      </w:tr>
      <w:tr w:rsidR="009039E9" w:rsidRPr="009039E9" w14:paraId="47CCA358" w14:textId="77777777" w:rsidTr="002D6626">
        <w:tc>
          <w:tcPr>
            <w:tcW w:w="1949" w:type="dxa"/>
          </w:tcPr>
          <w:p w14:paraId="1F8C8DE6" w14:textId="77777777" w:rsidR="009039E9" w:rsidRPr="009039E9" w:rsidRDefault="009039E9" w:rsidP="009039E9">
            <w:pPr>
              <w:spacing w:after="120"/>
              <w:jc w:val="both"/>
              <w:rPr>
                <w:rFonts w:eastAsia="Calibri"/>
                <w:lang w:eastAsia="en-US"/>
              </w:rPr>
            </w:pPr>
            <w:r w:rsidRPr="009039E9">
              <w:rPr>
                <w:rFonts w:eastAsia="Calibri"/>
                <w:lang w:eastAsia="en-US"/>
              </w:rPr>
              <w:t>Lot 4</w:t>
            </w:r>
          </w:p>
        </w:tc>
        <w:tc>
          <w:tcPr>
            <w:tcW w:w="1949" w:type="dxa"/>
            <w:vAlign w:val="center"/>
          </w:tcPr>
          <w:p w14:paraId="6E2C65E7" w14:textId="77777777" w:rsidR="009039E9" w:rsidRPr="009039E9" w:rsidRDefault="009039E9" w:rsidP="009039E9">
            <w:pPr>
              <w:spacing w:after="120"/>
              <w:jc w:val="center"/>
              <w:rPr>
                <w:rFonts w:eastAsia="Calibri"/>
                <w:lang w:eastAsia="en-US"/>
              </w:rPr>
            </w:pPr>
            <w:r w:rsidRPr="009039E9">
              <w:rPr>
                <w:rFonts w:eastAsia="Calibri"/>
                <w:lang w:eastAsia="en-US"/>
              </w:rPr>
              <w:t>413,11</w:t>
            </w:r>
          </w:p>
        </w:tc>
        <w:tc>
          <w:tcPr>
            <w:tcW w:w="1949" w:type="dxa"/>
            <w:vAlign w:val="center"/>
          </w:tcPr>
          <w:p w14:paraId="384E3559" w14:textId="77777777" w:rsidR="009039E9" w:rsidRPr="009039E9" w:rsidRDefault="009039E9" w:rsidP="009039E9">
            <w:pPr>
              <w:spacing w:after="120"/>
              <w:jc w:val="center"/>
              <w:rPr>
                <w:rFonts w:eastAsia="Calibri"/>
                <w:lang w:eastAsia="en-US"/>
              </w:rPr>
            </w:pPr>
            <w:r w:rsidRPr="009039E9">
              <w:rPr>
                <w:rFonts w:eastAsia="Calibri"/>
                <w:lang w:eastAsia="en-US"/>
              </w:rPr>
              <w:t>69,05</w:t>
            </w:r>
          </w:p>
        </w:tc>
        <w:tc>
          <w:tcPr>
            <w:tcW w:w="1950" w:type="dxa"/>
            <w:vAlign w:val="center"/>
          </w:tcPr>
          <w:p w14:paraId="2B615680" w14:textId="77777777" w:rsidR="009039E9" w:rsidRPr="009039E9" w:rsidRDefault="009039E9" w:rsidP="009039E9">
            <w:pPr>
              <w:spacing w:after="120"/>
              <w:jc w:val="center"/>
              <w:rPr>
                <w:rFonts w:eastAsia="Calibri"/>
                <w:lang w:eastAsia="en-US"/>
              </w:rPr>
            </w:pPr>
            <w:r w:rsidRPr="009039E9">
              <w:rPr>
                <w:rFonts w:eastAsia="Calibri"/>
                <w:lang w:eastAsia="en-US"/>
              </w:rPr>
              <w:t>57</w:t>
            </w:r>
          </w:p>
        </w:tc>
        <w:tc>
          <w:tcPr>
            <w:tcW w:w="1950" w:type="dxa"/>
            <w:vAlign w:val="center"/>
          </w:tcPr>
          <w:p w14:paraId="504024B2" w14:textId="77777777" w:rsidR="009039E9" w:rsidRPr="009039E9" w:rsidRDefault="009039E9" w:rsidP="009039E9">
            <w:pPr>
              <w:spacing w:after="120"/>
              <w:jc w:val="center"/>
              <w:rPr>
                <w:rFonts w:eastAsia="Calibri"/>
                <w:lang w:eastAsia="en-US"/>
              </w:rPr>
            </w:pPr>
            <w:r w:rsidRPr="009039E9">
              <w:rPr>
                <w:rFonts w:eastAsia="Calibri"/>
                <w:lang w:eastAsia="en-US"/>
              </w:rPr>
              <w:t>898</w:t>
            </w:r>
          </w:p>
        </w:tc>
      </w:tr>
      <w:tr w:rsidR="009039E9" w:rsidRPr="009039E9" w14:paraId="38EF60F1" w14:textId="77777777" w:rsidTr="002D6626">
        <w:tc>
          <w:tcPr>
            <w:tcW w:w="1949" w:type="dxa"/>
          </w:tcPr>
          <w:p w14:paraId="10A34947" w14:textId="77777777" w:rsidR="009039E9" w:rsidRPr="009039E9" w:rsidRDefault="009039E9" w:rsidP="009039E9">
            <w:pPr>
              <w:spacing w:after="120"/>
              <w:jc w:val="both"/>
              <w:rPr>
                <w:rFonts w:eastAsia="Calibri"/>
                <w:lang w:eastAsia="en-US"/>
              </w:rPr>
            </w:pPr>
            <w:r w:rsidRPr="009039E9">
              <w:rPr>
                <w:rFonts w:eastAsia="Calibri"/>
                <w:lang w:eastAsia="en-US"/>
              </w:rPr>
              <w:t>Lot 5</w:t>
            </w:r>
          </w:p>
        </w:tc>
        <w:tc>
          <w:tcPr>
            <w:tcW w:w="1949" w:type="dxa"/>
            <w:vAlign w:val="center"/>
          </w:tcPr>
          <w:p w14:paraId="633EE841" w14:textId="77777777" w:rsidR="009039E9" w:rsidRPr="009039E9" w:rsidRDefault="009039E9" w:rsidP="009039E9">
            <w:pPr>
              <w:spacing w:after="120"/>
              <w:jc w:val="center"/>
              <w:rPr>
                <w:rFonts w:eastAsia="Calibri"/>
                <w:lang w:eastAsia="en-US"/>
              </w:rPr>
            </w:pPr>
            <w:r w:rsidRPr="009039E9">
              <w:rPr>
                <w:rFonts w:eastAsia="Calibri"/>
                <w:lang w:eastAsia="en-US"/>
              </w:rPr>
              <w:t>70,98</w:t>
            </w:r>
          </w:p>
        </w:tc>
        <w:tc>
          <w:tcPr>
            <w:tcW w:w="1949" w:type="dxa"/>
            <w:vAlign w:val="center"/>
          </w:tcPr>
          <w:p w14:paraId="7F61000B" w14:textId="77777777" w:rsidR="009039E9" w:rsidRPr="009039E9" w:rsidRDefault="009039E9" w:rsidP="009039E9">
            <w:pPr>
              <w:spacing w:after="120"/>
              <w:jc w:val="center"/>
              <w:rPr>
                <w:rFonts w:eastAsia="Calibri"/>
                <w:lang w:eastAsia="en-US"/>
              </w:rPr>
            </w:pPr>
            <w:r w:rsidRPr="009039E9">
              <w:rPr>
                <w:rFonts w:eastAsia="Calibri"/>
                <w:lang w:eastAsia="en-US"/>
              </w:rPr>
              <w:t>15,573</w:t>
            </w:r>
          </w:p>
        </w:tc>
        <w:tc>
          <w:tcPr>
            <w:tcW w:w="1950" w:type="dxa"/>
            <w:vAlign w:val="center"/>
          </w:tcPr>
          <w:p w14:paraId="474B9E8E" w14:textId="77777777" w:rsidR="009039E9" w:rsidRPr="009039E9" w:rsidRDefault="009039E9" w:rsidP="009039E9">
            <w:pPr>
              <w:spacing w:after="120"/>
              <w:jc w:val="center"/>
              <w:rPr>
                <w:rFonts w:eastAsia="Calibri"/>
                <w:lang w:eastAsia="en-US"/>
              </w:rPr>
            </w:pPr>
            <w:r w:rsidRPr="009039E9">
              <w:rPr>
                <w:rFonts w:eastAsia="Calibri"/>
                <w:lang w:eastAsia="en-US"/>
              </w:rPr>
              <w:t>13</w:t>
            </w:r>
          </w:p>
        </w:tc>
        <w:tc>
          <w:tcPr>
            <w:tcW w:w="1950" w:type="dxa"/>
            <w:vAlign w:val="center"/>
          </w:tcPr>
          <w:p w14:paraId="3B0E9177" w14:textId="77777777" w:rsidR="009039E9" w:rsidRPr="009039E9" w:rsidRDefault="009039E9" w:rsidP="009039E9">
            <w:pPr>
              <w:spacing w:after="120"/>
              <w:jc w:val="center"/>
              <w:rPr>
                <w:rFonts w:eastAsia="Calibri"/>
                <w:lang w:eastAsia="en-US"/>
              </w:rPr>
            </w:pPr>
            <w:r w:rsidRPr="009039E9">
              <w:rPr>
                <w:rFonts w:eastAsia="Calibri"/>
                <w:lang w:eastAsia="en-US"/>
              </w:rPr>
              <w:t>193</w:t>
            </w:r>
          </w:p>
        </w:tc>
      </w:tr>
    </w:tbl>
    <w:p w14:paraId="5266C7CE" w14:textId="77777777" w:rsidR="009039E9" w:rsidRPr="0043315A" w:rsidRDefault="009039E9" w:rsidP="009039E9">
      <w:pPr>
        <w:spacing w:after="120"/>
        <w:jc w:val="both"/>
        <w:rPr>
          <w:rFonts w:eastAsia="Calibri"/>
          <w:sz w:val="10"/>
          <w:szCs w:val="10"/>
          <w:lang w:eastAsia="en-US"/>
        </w:rPr>
      </w:pPr>
    </w:p>
    <w:p w14:paraId="4C0C03E6" w14:textId="77777777" w:rsidR="009039E9" w:rsidRPr="009039E9" w:rsidRDefault="009039E9" w:rsidP="009039E9">
      <w:pPr>
        <w:spacing w:after="240"/>
        <w:jc w:val="both"/>
        <w:rPr>
          <w:b/>
          <w:i/>
        </w:rPr>
      </w:pPr>
      <w:r w:rsidRPr="009039E9">
        <w:t>Le soumissionnaire peut soumissionner pour tous les lots.</w:t>
      </w:r>
    </w:p>
    <w:p w14:paraId="03FE7523" w14:textId="77777777" w:rsidR="009039E9" w:rsidRPr="009039E9" w:rsidRDefault="009039E9" w:rsidP="009039E9">
      <w:pPr>
        <w:spacing w:after="240"/>
        <w:jc w:val="both"/>
      </w:pPr>
      <w:r w:rsidRPr="009039E9">
        <w:t>Chaque lot fera l'objet d'un marché séparé et les quantités indiquées aux différents lots seront indivisibles. Le soumissionnaire doit obligatoirement offrir l'ensemble de la ou des quantité(s) indiquée(s) à chaque lot. Les offres partielles ne sont en aucun cas prises en considération. Si un soumissionnaire remporte plusieurs lots, un marché sera conclu pour chaque lot.</w:t>
      </w:r>
    </w:p>
    <w:p w14:paraId="53E06661" w14:textId="77777777" w:rsidR="009039E9" w:rsidRPr="009039E9" w:rsidRDefault="009039E9" w:rsidP="009039E9">
      <w:pPr>
        <w:spacing w:after="240"/>
        <w:jc w:val="both"/>
      </w:pPr>
      <w:r w:rsidRPr="009039E9">
        <w:t>Les soumissionnaires peuvent faire figurer dans leurs offres le rabais global qu’ils consentent en cas d'attribution de certains lots ou de tous les lots pour lesquels ils présentent une offre.</w:t>
      </w:r>
    </w:p>
    <w:p w14:paraId="62C46696" w14:textId="77777777" w:rsidR="009039E9" w:rsidRPr="009039E9" w:rsidRDefault="009039E9" w:rsidP="009039E9">
      <w:pPr>
        <w:spacing w:after="240"/>
        <w:jc w:val="both"/>
      </w:pPr>
      <w:r w:rsidRPr="009039E9">
        <w:t>L'attribution du marché se fera lot par lot, mais l’Autorité Contractante peut choisir la solution globale la plus avantageuse économiquement, compte tenu des rabais consentis.</w:t>
      </w:r>
    </w:p>
    <w:p w14:paraId="23A0700C" w14:textId="77777777" w:rsidR="009039E9" w:rsidRPr="009039E9" w:rsidRDefault="009039E9" w:rsidP="009039E9">
      <w:pPr>
        <w:spacing w:line="276" w:lineRule="auto"/>
        <w:ind w:left="720"/>
        <w:contextualSpacing/>
        <w:jc w:val="both"/>
        <w:rPr>
          <w:rFonts w:eastAsia="Calibri"/>
          <w:b/>
          <w:lang w:eastAsia="en-US"/>
        </w:rPr>
      </w:pPr>
      <w:r w:rsidRPr="009039E9">
        <w:rPr>
          <w:rFonts w:eastAsia="Calibri"/>
          <w:b/>
          <w:lang w:eastAsia="en-US"/>
        </w:rPr>
        <w:t>CONDITIONS DE PARTICIPATION</w:t>
      </w:r>
    </w:p>
    <w:p w14:paraId="5CF730E2" w14:textId="77777777" w:rsidR="009039E9" w:rsidRPr="009039E9" w:rsidRDefault="009039E9" w:rsidP="009039E9">
      <w:pPr>
        <w:spacing w:line="276" w:lineRule="auto"/>
        <w:jc w:val="both"/>
        <w:rPr>
          <w:rFonts w:eastAsia="Calibri"/>
          <w:b/>
          <w:lang w:eastAsia="en-US"/>
        </w:rPr>
      </w:pPr>
    </w:p>
    <w:p w14:paraId="121B349B" w14:textId="77777777" w:rsidR="009039E9" w:rsidRPr="009039E9" w:rsidRDefault="009039E9" w:rsidP="009039E9">
      <w:pPr>
        <w:keepNext/>
        <w:widowControl w:val="0"/>
        <w:suppressAutoHyphens/>
        <w:jc w:val="both"/>
        <w:outlineLvl w:val="0"/>
        <w:rPr>
          <w:rFonts w:eastAsia="SimSun"/>
          <w:b/>
          <w:lang w:eastAsia="en-US"/>
        </w:rPr>
      </w:pPr>
      <w:r w:rsidRPr="009039E9">
        <w:rPr>
          <w:rFonts w:eastAsia="SimSun"/>
          <w:b/>
          <w:lang w:eastAsia="en-US"/>
        </w:rPr>
        <w:t>4. Éligibilité et règle de l’origine</w:t>
      </w:r>
    </w:p>
    <w:p w14:paraId="38BDE45E" w14:textId="77777777" w:rsidR="009039E9" w:rsidRPr="009039E9" w:rsidRDefault="009039E9" w:rsidP="009039E9">
      <w:pPr>
        <w:jc w:val="both"/>
        <w:rPr>
          <w:rFonts w:eastAsia="Calibri"/>
          <w:lang w:eastAsia="en-US"/>
        </w:rPr>
      </w:pPr>
    </w:p>
    <w:p w14:paraId="67EEBD9E" w14:textId="77777777" w:rsidR="009039E9" w:rsidRPr="009039E9" w:rsidRDefault="009039E9" w:rsidP="009039E9">
      <w:pPr>
        <w:shd w:val="clear" w:color="auto" w:fill="FFFFFF"/>
        <w:tabs>
          <w:tab w:val="left" w:pos="1133"/>
          <w:tab w:val="left" w:pos="1350"/>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ind w:hanging="9"/>
        <w:jc w:val="both"/>
        <w:outlineLvl w:val="1"/>
      </w:pPr>
      <w:r w:rsidRPr="009039E9">
        <w:t>La participation au marché est ouverte aux personnes morales (participant soit individuellement, soit dans un groupement - consortium – de soumissionnaires) :</w:t>
      </w:r>
    </w:p>
    <w:p w14:paraId="4CED3D93" w14:textId="77777777" w:rsidR="009039E9" w:rsidRPr="009039E9" w:rsidRDefault="009039E9" w:rsidP="009039E9">
      <w:pPr>
        <w:spacing w:after="200" w:line="276" w:lineRule="auto"/>
        <w:jc w:val="both"/>
        <w:rPr>
          <w:rFonts w:eastAsia="Calibri"/>
          <w:b/>
          <w:lang w:eastAsia="en-US"/>
        </w:rPr>
      </w:pPr>
    </w:p>
    <w:p w14:paraId="44600ED0" w14:textId="77777777" w:rsidR="009039E9" w:rsidRPr="009039E9" w:rsidRDefault="009039E9" w:rsidP="009039E9">
      <w:pPr>
        <w:numPr>
          <w:ilvl w:val="0"/>
          <w:numId w:val="12"/>
        </w:numPr>
        <w:suppressAutoHyphens/>
        <w:spacing w:after="200" w:line="276" w:lineRule="auto"/>
        <w:ind w:left="709" w:hanging="567"/>
        <w:jc w:val="both"/>
        <w:rPr>
          <w:color w:val="000000"/>
          <w:lang w:eastAsia="ar-SA"/>
        </w:rPr>
      </w:pPr>
      <w:r w:rsidRPr="009039E9">
        <w:rPr>
          <w:color w:val="000000"/>
          <w:lang w:eastAsia="ar-SA"/>
        </w:rPr>
        <w:t>La participation aux appels d’offres est ouverte à toute personne morale d’un État éligible conformément à l’instrument financier utilisé « </w:t>
      </w:r>
      <w:r w:rsidRPr="009039E9">
        <w:rPr>
          <w:b/>
          <w:i/>
          <w:lang w:eastAsia="ar-SA"/>
        </w:rPr>
        <w:t>Prêts aux Etats</w:t>
      </w:r>
      <w:r w:rsidRPr="009039E9">
        <w:rPr>
          <w:i/>
          <w:lang w:eastAsia="ar-SA"/>
        </w:rPr>
        <w:t xml:space="preserve"> » </w:t>
      </w:r>
      <w:r w:rsidRPr="009039E9">
        <w:rPr>
          <w:color w:val="000000"/>
          <w:lang w:eastAsia="ar-SA"/>
        </w:rPr>
        <w:t>;</w:t>
      </w:r>
    </w:p>
    <w:p w14:paraId="3425164F" w14:textId="77777777" w:rsidR="009039E9" w:rsidRPr="009039E9" w:rsidRDefault="009039E9" w:rsidP="009039E9">
      <w:pPr>
        <w:numPr>
          <w:ilvl w:val="0"/>
          <w:numId w:val="12"/>
        </w:numPr>
        <w:suppressAutoHyphens/>
        <w:spacing w:after="200" w:line="276" w:lineRule="auto"/>
        <w:ind w:left="709" w:hanging="567"/>
        <w:jc w:val="both"/>
        <w:rPr>
          <w:color w:val="000000"/>
          <w:lang w:eastAsia="ar-SA"/>
        </w:rPr>
      </w:pPr>
      <w:r w:rsidRPr="009039E9">
        <w:rPr>
          <w:color w:val="000000"/>
          <w:lang w:eastAsia="ar-SA"/>
        </w:rPr>
        <w:t xml:space="preserve">La participation aux appels d’offres est ouverte aux organisations internationales (par nature quel que soit le lieu où elles siègent). Les Organisations Internationales n’ont en effet à ce titre pas de nationalité. Ce sont des entités formées par au moins deux États et reconnues comme telles </w:t>
      </w:r>
      <w:proofErr w:type="gramStart"/>
      <w:r w:rsidRPr="009039E9">
        <w:rPr>
          <w:color w:val="000000"/>
          <w:lang w:eastAsia="ar-SA"/>
        </w:rPr>
        <w:lastRenderedPageBreak/>
        <w:t>par</w:t>
      </w:r>
      <w:proofErr w:type="gramEnd"/>
      <w:r w:rsidRPr="009039E9">
        <w:rPr>
          <w:color w:val="000000"/>
          <w:lang w:eastAsia="ar-SA"/>
        </w:rPr>
        <w:t xml:space="preserve"> un État tiers. Leur acte fondateur les définit comme non sujettes aux lois nationales du pays de leur Siège ;</w:t>
      </w:r>
    </w:p>
    <w:p w14:paraId="0DD598E3" w14:textId="77777777" w:rsidR="009039E9" w:rsidRPr="009039E9" w:rsidRDefault="009039E9" w:rsidP="009039E9">
      <w:pPr>
        <w:numPr>
          <w:ilvl w:val="0"/>
          <w:numId w:val="12"/>
        </w:numPr>
        <w:suppressAutoHyphens/>
        <w:spacing w:after="120" w:line="264" w:lineRule="auto"/>
        <w:ind w:left="709" w:hanging="567"/>
        <w:jc w:val="both"/>
        <w:rPr>
          <w:color w:val="000000"/>
          <w:lang w:eastAsia="ar-SA"/>
        </w:rPr>
      </w:pPr>
      <w:r w:rsidRPr="009039E9">
        <w:rPr>
          <w:color w:val="000000"/>
          <w:lang w:eastAsia="ar-SA"/>
        </w:rPr>
        <w:t>Lorsque le financement couvre une opération mise en œuvre par l’intermédiaire d’une initiative régionale, la participation aux appels d’offres est ouverte à toute personne morale qui est éligible en vertu du point 1) ainsi qu’à toute morale d’un État participant à l’initiative concernée ;</w:t>
      </w:r>
    </w:p>
    <w:p w14:paraId="5656FB2E" w14:textId="77777777" w:rsidR="009039E9" w:rsidRPr="009039E9" w:rsidRDefault="009039E9" w:rsidP="009039E9">
      <w:pPr>
        <w:numPr>
          <w:ilvl w:val="0"/>
          <w:numId w:val="12"/>
        </w:numPr>
        <w:suppressAutoHyphens/>
        <w:spacing w:after="280" w:line="264" w:lineRule="auto"/>
        <w:ind w:left="709" w:hanging="567"/>
        <w:jc w:val="both"/>
        <w:rPr>
          <w:color w:val="000000"/>
          <w:lang w:eastAsia="ar-SA"/>
        </w:rPr>
      </w:pPr>
      <w:r w:rsidRPr="009039E9">
        <w:rPr>
          <w:color w:val="000000"/>
          <w:lang w:eastAsia="ar-SA"/>
        </w:rPr>
        <w:t>Lorsque le financement couvre une opération cofinancée avec un État tiers, la participation aux appels d’offres est ouverte à toute personne morale qui est éligible en vertu du point 1) ainsi qu’à toute personne morale éligible en vertu des règles dudit État tiers.</w:t>
      </w:r>
    </w:p>
    <w:p w14:paraId="61EEEED2" w14:textId="77777777" w:rsidR="009039E9" w:rsidRPr="009039E9" w:rsidRDefault="009039E9" w:rsidP="009039E9">
      <w:pPr>
        <w:widowControl w:val="0"/>
        <w:suppressAutoHyphens/>
        <w:spacing w:after="100"/>
        <w:jc w:val="both"/>
        <w:rPr>
          <w:lang w:eastAsia="ar-SA"/>
        </w:rPr>
      </w:pPr>
      <w:r w:rsidRPr="009039E9">
        <w:rPr>
          <w:lang w:eastAsia="ar-SA"/>
        </w:rPr>
        <w:t xml:space="preserve">Tous les biens fournis dans le cadre du présent marché doivent être originaires de ces pays. </w:t>
      </w:r>
    </w:p>
    <w:p w14:paraId="264CE9B3" w14:textId="77777777" w:rsidR="009039E9" w:rsidRPr="009039E9" w:rsidRDefault="009039E9" w:rsidP="009039E9">
      <w:pPr>
        <w:widowControl w:val="0"/>
        <w:suppressAutoHyphens/>
        <w:jc w:val="both"/>
        <w:rPr>
          <w:lang w:eastAsia="ar-SA"/>
        </w:rPr>
      </w:pPr>
    </w:p>
    <w:p w14:paraId="6FAE31B8" w14:textId="77777777" w:rsidR="009039E9" w:rsidRPr="009039E9" w:rsidRDefault="009039E9" w:rsidP="009039E9">
      <w:pPr>
        <w:widowControl w:val="0"/>
        <w:suppressAutoHyphens/>
        <w:jc w:val="both"/>
        <w:rPr>
          <w:rFonts w:eastAsia="Calibri"/>
          <w:b/>
          <w:lang w:eastAsia="ar-SA"/>
        </w:rPr>
      </w:pPr>
      <w:r w:rsidRPr="009039E9">
        <w:rPr>
          <w:b/>
          <w:lang w:eastAsia="ar-SA"/>
        </w:rPr>
        <w:t xml:space="preserve"> </w:t>
      </w:r>
      <w:r w:rsidRPr="009039E9">
        <w:rPr>
          <w:rFonts w:eastAsia="Calibri"/>
          <w:b/>
          <w:lang w:eastAsia="ar-SA"/>
        </w:rPr>
        <w:t>5. Nombre d’offres</w:t>
      </w:r>
    </w:p>
    <w:p w14:paraId="08B65ACE" w14:textId="77777777" w:rsidR="009039E9" w:rsidRPr="009039E9" w:rsidRDefault="009039E9" w:rsidP="009039E9">
      <w:pPr>
        <w:widowControl w:val="0"/>
        <w:suppressAutoHyphens/>
        <w:jc w:val="both"/>
        <w:rPr>
          <w:rFonts w:eastAsia="Calibri"/>
          <w:b/>
          <w:lang w:eastAsia="ar-SA"/>
        </w:rPr>
      </w:pPr>
    </w:p>
    <w:p w14:paraId="56C64728" w14:textId="77777777" w:rsidR="009039E9" w:rsidRPr="009039E9" w:rsidRDefault="009039E9" w:rsidP="009039E9">
      <w:pPr>
        <w:widowControl w:val="0"/>
        <w:suppressAutoHyphens/>
        <w:ind w:right="360"/>
        <w:jc w:val="both"/>
        <w:rPr>
          <w:lang w:eastAsia="ar-SA"/>
        </w:rPr>
      </w:pPr>
      <w:r w:rsidRPr="009039E9">
        <w:rPr>
          <w:lang w:eastAsia="ar-SA"/>
        </w:rPr>
        <w:t xml:space="preserve">Les candidats peuvent soumettre une candidature pour un seul lot, pour plusieurs lots ou pour tous les lots, mais une seule candidature par lot. Les marchés seront attribués lot par lot et chaque lot fera l’objet d’un marché distinct. </w:t>
      </w:r>
    </w:p>
    <w:p w14:paraId="0FA4BDD3" w14:textId="77777777" w:rsidR="009039E9" w:rsidRPr="009039E9" w:rsidRDefault="009039E9" w:rsidP="009039E9">
      <w:pPr>
        <w:spacing w:before="100" w:beforeAutospacing="1" w:after="100" w:afterAutospacing="1"/>
      </w:pPr>
      <w:r w:rsidRPr="009039E9">
        <w:t>Tout soumissionnaire est autorisé à soumissionner pour l’ensemble des lots. Toutefois, les règles suivantes s’appliquent en matière d’attribution :</w:t>
      </w:r>
    </w:p>
    <w:p w14:paraId="3E12F788" w14:textId="77777777" w:rsidR="009039E9" w:rsidRPr="009039E9" w:rsidRDefault="009039E9" w:rsidP="009039E9">
      <w:pPr>
        <w:numPr>
          <w:ilvl w:val="6"/>
          <w:numId w:val="21"/>
        </w:numPr>
        <w:spacing w:after="120" w:line="276" w:lineRule="auto"/>
        <w:ind w:left="567"/>
        <w:jc w:val="both"/>
        <w:rPr>
          <w:rFonts w:eastAsia="Calibri"/>
          <w:b/>
          <w:bCs/>
          <w:sz w:val="22"/>
          <w:szCs w:val="22"/>
          <w:lang w:eastAsia="en-US"/>
        </w:rPr>
      </w:pPr>
      <w:r w:rsidRPr="009039E9">
        <w:rPr>
          <w:rFonts w:eastAsia="Calibri"/>
          <w:b/>
          <w:bCs/>
          <w:sz w:val="22"/>
          <w:szCs w:val="22"/>
          <w:lang w:eastAsia="en-US"/>
        </w:rPr>
        <w:t>Aucun soumissionnaire ne pourra se voir attribuer plus de deux (02) lots au total ;</w:t>
      </w:r>
    </w:p>
    <w:p w14:paraId="78AEF8DD" w14:textId="77777777" w:rsidR="009039E9" w:rsidRPr="009039E9" w:rsidRDefault="009039E9" w:rsidP="009039E9">
      <w:pPr>
        <w:numPr>
          <w:ilvl w:val="6"/>
          <w:numId w:val="21"/>
        </w:numPr>
        <w:spacing w:after="120" w:line="276" w:lineRule="auto"/>
        <w:ind w:left="567"/>
        <w:jc w:val="both"/>
        <w:rPr>
          <w:rFonts w:eastAsia="Calibri"/>
          <w:b/>
          <w:bCs/>
          <w:sz w:val="22"/>
          <w:szCs w:val="22"/>
          <w:lang w:eastAsia="en-US"/>
        </w:rPr>
      </w:pPr>
      <w:r w:rsidRPr="009039E9">
        <w:rPr>
          <w:rFonts w:eastAsia="Calibri"/>
          <w:b/>
          <w:bCs/>
          <w:sz w:val="22"/>
          <w:szCs w:val="22"/>
          <w:lang w:eastAsia="en-US"/>
        </w:rPr>
        <w:t>La combinaison des lots 1 et 4 est interdite : un même soumissionnaire ne pourra pas être attributaire de ces deux lots simultanément.</w:t>
      </w:r>
    </w:p>
    <w:p w14:paraId="6B8E3C08" w14:textId="77777777" w:rsidR="009039E9" w:rsidRPr="0043315A" w:rsidRDefault="009039E9" w:rsidP="009039E9">
      <w:pPr>
        <w:ind w:left="567"/>
        <w:jc w:val="both"/>
        <w:rPr>
          <w:rFonts w:ascii="Calibri" w:eastAsia="Calibri" w:hAnsi="Calibri"/>
          <w:sz w:val="6"/>
          <w:szCs w:val="8"/>
          <w:lang w:eastAsia="en-US"/>
        </w:rPr>
      </w:pPr>
    </w:p>
    <w:p w14:paraId="4AA1E196" w14:textId="77777777" w:rsidR="009039E9" w:rsidRPr="009039E9" w:rsidRDefault="009039E9" w:rsidP="009039E9">
      <w:pPr>
        <w:keepNext/>
        <w:widowControl w:val="0"/>
        <w:suppressAutoHyphens/>
        <w:spacing w:before="100" w:after="100"/>
        <w:jc w:val="both"/>
        <w:outlineLvl w:val="0"/>
        <w:rPr>
          <w:rFonts w:eastAsia="Calibri"/>
          <w:b/>
          <w:lang w:eastAsia="en-US"/>
        </w:rPr>
      </w:pPr>
      <w:r w:rsidRPr="009039E9">
        <w:rPr>
          <w:rFonts w:eastAsia="Calibri"/>
          <w:b/>
          <w:lang w:eastAsia="en-US"/>
        </w:rPr>
        <w:t>6. Sous-traitance</w:t>
      </w:r>
    </w:p>
    <w:p w14:paraId="3F5819E0" w14:textId="77777777" w:rsidR="009039E9" w:rsidRPr="009039E9" w:rsidRDefault="009039E9" w:rsidP="009039E9">
      <w:pPr>
        <w:keepNext/>
        <w:keepLines/>
        <w:widowControl w:val="0"/>
        <w:spacing w:before="100" w:after="100"/>
        <w:jc w:val="both"/>
        <w:rPr>
          <w:snapToGrid w:val="0"/>
          <w:lang w:bidi="fr-FR"/>
        </w:rPr>
      </w:pPr>
      <w:r w:rsidRPr="009039E9">
        <w:rPr>
          <w:snapToGrid w:val="0"/>
          <w:lang w:bidi="fr-FR"/>
        </w:rPr>
        <w:t>Le recours à la sous-traitance est autorisé de 40 % de la valeur du marché. Les sous-traitants, fournisseurs et entités dont les capacités sont prises en compte par le soumissionnaire pour les critères de sélection doivent être éligibles au regard des règles de nationalité et d’origine du programme de financement décrites au point ci-dessus.</w:t>
      </w:r>
    </w:p>
    <w:p w14:paraId="31E56CCF" w14:textId="77777777" w:rsidR="009039E9" w:rsidRPr="0043315A" w:rsidRDefault="009039E9" w:rsidP="009039E9">
      <w:pPr>
        <w:keepNext/>
        <w:keepLines/>
        <w:widowControl w:val="0"/>
        <w:spacing w:before="100" w:after="100"/>
        <w:jc w:val="both"/>
        <w:rPr>
          <w:snapToGrid w:val="0"/>
          <w:sz w:val="14"/>
          <w:szCs w:val="14"/>
          <w:lang w:bidi="fr-FR"/>
        </w:rPr>
      </w:pPr>
    </w:p>
    <w:p w14:paraId="498C1126" w14:textId="77777777" w:rsidR="009039E9" w:rsidRPr="009039E9" w:rsidRDefault="009039E9" w:rsidP="009039E9">
      <w:pPr>
        <w:keepNext/>
        <w:widowControl w:val="0"/>
        <w:suppressAutoHyphens/>
        <w:spacing w:before="100" w:after="100"/>
        <w:jc w:val="both"/>
        <w:outlineLvl w:val="0"/>
        <w:rPr>
          <w:rFonts w:eastAsia="Calibri"/>
          <w:b/>
          <w:lang w:eastAsia="en-US"/>
        </w:rPr>
      </w:pPr>
      <w:r w:rsidRPr="009039E9">
        <w:rPr>
          <w:rFonts w:eastAsia="Calibri"/>
          <w:b/>
          <w:lang w:eastAsia="en-US"/>
        </w:rPr>
        <w:t>7. Situations d’exclusion</w:t>
      </w:r>
    </w:p>
    <w:p w14:paraId="1D7AB161" w14:textId="77777777" w:rsidR="009039E9" w:rsidRPr="009039E9" w:rsidRDefault="009039E9" w:rsidP="009039E9">
      <w:pPr>
        <w:widowControl w:val="0"/>
        <w:suppressAutoHyphens/>
        <w:spacing w:after="100"/>
        <w:jc w:val="both"/>
        <w:rPr>
          <w:b/>
          <w:i/>
          <w:lang w:eastAsia="ar-SA"/>
        </w:rPr>
      </w:pPr>
      <w:r w:rsidRPr="009039E9">
        <w:rPr>
          <w:lang w:eastAsia="ar-SA"/>
        </w:rPr>
        <w:t xml:space="preserve">Les soumissionnaires doivent fournir une déclaration signée, incluse au formulaire de soumission pour un contrat de travaux, selon laquelle ils ne se trouvent dans aucune des situations énumérées au point 2.2.2 du </w:t>
      </w:r>
      <w:bookmarkStart w:id="2" w:name="guide_prat"/>
      <w:r w:rsidRPr="009039E9">
        <w:rPr>
          <w:lang w:eastAsia="ar-SA"/>
        </w:rPr>
        <w:t xml:space="preserve">Guide des Procédures de passation de marché et règles d'attribution des contrats de </w:t>
      </w:r>
      <w:bookmarkEnd w:id="2"/>
      <w:r w:rsidRPr="009039E9">
        <w:rPr>
          <w:lang w:eastAsia="ar-SA"/>
        </w:rPr>
        <w:t>la BOAD</w:t>
      </w:r>
      <w:r w:rsidRPr="009039E9">
        <w:rPr>
          <w:b/>
          <w:i/>
          <w:lang w:eastAsia="ar-SA"/>
        </w:rPr>
        <w:t>.</w:t>
      </w:r>
    </w:p>
    <w:p w14:paraId="06F39029" w14:textId="77777777" w:rsidR="009039E9" w:rsidRPr="0043315A" w:rsidRDefault="009039E9" w:rsidP="009039E9">
      <w:pPr>
        <w:widowControl w:val="0"/>
        <w:suppressAutoHyphens/>
        <w:jc w:val="both"/>
        <w:rPr>
          <w:b/>
          <w:i/>
          <w:sz w:val="14"/>
          <w:szCs w:val="14"/>
          <w:lang w:eastAsia="ar-SA"/>
        </w:rPr>
      </w:pPr>
    </w:p>
    <w:p w14:paraId="48EE3808" w14:textId="77777777" w:rsidR="009039E9" w:rsidRPr="009039E9" w:rsidRDefault="009039E9" w:rsidP="009039E9">
      <w:pPr>
        <w:keepNext/>
        <w:widowControl w:val="0"/>
        <w:suppressAutoHyphens/>
        <w:spacing w:before="100" w:after="100"/>
        <w:jc w:val="both"/>
        <w:outlineLvl w:val="0"/>
        <w:rPr>
          <w:rFonts w:eastAsia="Calibri"/>
          <w:b/>
          <w:lang w:eastAsia="en-US"/>
        </w:rPr>
      </w:pPr>
      <w:r w:rsidRPr="009039E9">
        <w:rPr>
          <w:rFonts w:eastAsia="Calibri"/>
          <w:b/>
          <w:lang w:eastAsia="en-US"/>
        </w:rPr>
        <w:t>8. Possibilités de sous-traitance</w:t>
      </w:r>
    </w:p>
    <w:p w14:paraId="75E85B27" w14:textId="77777777" w:rsidR="009039E9" w:rsidRPr="009039E9" w:rsidRDefault="009039E9" w:rsidP="009039E9">
      <w:pPr>
        <w:spacing w:line="276" w:lineRule="auto"/>
        <w:jc w:val="both"/>
        <w:rPr>
          <w:rFonts w:eastAsia="Calibri"/>
          <w:lang w:eastAsia="en-US"/>
        </w:rPr>
      </w:pPr>
      <w:r w:rsidRPr="009039E9">
        <w:rPr>
          <w:rFonts w:eastAsia="Calibri"/>
          <w:lang w:eastAsia="en-US"/>
        </w:rPr>
        <w:t>40 % maximal de la valeur du marché.</w:t>
      </w:r>
    </w:p>
    <w:p w14:paraId="6DFDD59C" w14:textId="77777777" w:rsidR="009039E9" w:rsidRPr="0043315A" w:rsidRDefault="009039E9" w:rsidP="009039E9">
      <w:pPr>
        <w:spacing w:line="276" w:lineRule="auto"/>
        <w:jc w:val="both"/>
        <w:rPr>
          <w:rFonts w:eastAsia="Calibri"/>
          <w:sz w:val="14"/>
          <w:szCs w:val="14"/>
          <w:lang w:eastAsia="en-US"/>
        </w:rPr>
      </w:pPr>
    </w:p>
    <w:p w14:paraId="3DF8B7FC" w14:textId="77777777" w:rsidR="009039E9" w:rsidRPr="009039E9" w:rsidRDefault="009039E9" w:rsidP="009039E9">
      <w:pPr>
        <w:keepNext/>
        <w:widowControl w:val="0"/>
        <w:suppressAutoHyphens/>
        <w:spacing w:before="100" w:after="100"/>
        <w:jc w:val="both"/>
        <w:outlineLvl w:val="0"/>
        <w:rPr>
          <w:rFonts w:eastAsia="Calibri"/>
          <w:b/>
          <w:lang w:eastAsia="en-US"/>
        </w:rPr>
      </w:pPr>
      <w:r w:rsidRPr="009039E9">
        <w:rPr>
          <w:rFonts w:eastAsia="Calibri"/>
          <w:b/>
          <w:lang w:eastAsia="en-US"/>
        </w:rPr>
        <w:t>9. Garantie de soumission</w:t>
      </w:r>
    </w:p>
    <w:p w14:paraId="09B71132" w14:textId="77777777" w:rsidR="009039E9" w:rsidRPr="009039E9" w:rsidRDefault="009039E9" w:rsidP="009039E9">
      <w:pPr>
        <w:tabs>
          <w:tab w:val="right" w:pos="7254"/>
        </w:tabs>
        <w:suppressAutoHyphens/>
        <w:overflowPunct w:val="0"/>
        <w:autoSpaceDE w:val="0"/>
        <w:autoSpaceDN w:val="0"/>
        <w:adjustRightInd w:val="0"/>
        <w:spacing w:after="200"/>
        <w:jc w:val="both"/>
        <w:textAlignment w:val="baseline"/>
        <w:rPr>
          <w:rFonts w:eastAsia="Calibri"/>
          <w:b/>
          <w:bCs/>
          <w:lang w:eastAsia="en-US"/>
        </w:rPr>
      </w:pPr>
      <w:r w:rsidRPr="009039E9">
        <w:rPr>
          <w:rFonts w:eastAsia="Calibri"/>
          <w:lang w:eastAsia="en-US"/>
        </w:rPr>
        <w:t xml:space="preserve">Les soumissionnaires doivent fournir une garantie de soumission de : </w:t>
      </w:r>
    </w:p>
    <w:p w14:paraId="4F1B6C0D" w14:textId="77777777" w:rsidR="009039E9" w:rsidRPr="009039E9" w:rsidRDefault="009039E9" w:rsidP="009039E9">
      <w:pPr>
        <w:numPr>
          <w:ilvl w:val="0"/>
          <w:numId w:val="15"/>
        </w:numPr>
        <w:tabs>
          <w:tab w:val="right" w:pos="7254"/>
        </w:tabs>
        <w:suppressAutoHyphens/>
        <w:overflowPunct w:val="0"/>
        <w:autoSpaceDE w:val="0"/>
        <w:autoSpaceDN w:val="0"/>
        <w:adjustRightInd w:val="0"/>
        <w:spacing w:after="200" w:line="276" w:lineRule="auto"/>
        <w:jc w:val="both"/>
        <w:textAlignment w:val="baseline"/>
        <w:rPr>
          <w:rFonts w:eastAsia="Calibri"/>
          <w:b/>
          <w:bCs/>
          <w:lang w:eastAsia="en-US"/>
        </w:rPr>
      </w:pPr>
      <w:r w:rsidRPr="009039E9">
        <w:rPr>
          <w:rFonts w:eastAsia="Calibri"/>
          <w:b/>
          <w:bCs/>
          <w:i/>
          <w:iCs/>
          <w:lang w:eastAsia="en-US"/>
        </w:rPr>
        <w:t xml:space="preserve">Cent millions (100 000 000) Francs CFA pour le lot 1 ; </w:t>
      </w:r>
    </w:p>
    <w:p w14:paraId="6A0D1419" w14:textId="77777777" w:rsidR="009039E9" w:rsidRPr="009039E9" w:rsidRDefault="009039E9" w:rsidP="009039E9">
      <w:pPr>
        <w:numPr>
          <w:ilvl w:val="0"/>
          <w:numId w:val="15"/>
        </w:numPr>
        <w:tabs>
          <w:tab w:val="right" w:pos="7254"/>
        </w:tabs>
        <w:suppressAutoHyphens/>
        <w:overflowPunct w:val="0"/>
        <w:autoSpaceDE w:val="0"/>
        <w:autoSpaceDN w:val="0"/>
        <w:adjustRightInd w:val="0"/>
        <w:spacing w:after="200" w:line="276" w:lineRule="auto"/>
        <w:jc w:val="both"/>
        <w:textAlignment w:val="baseline"/>
        <w:rPr>
          <w:rFonts w:eastAsia="Calibri"/>
          <w:b/>
          <w:bCs/>
          <w:lang w:eastAsia="en-US"/>
        </w:rPr>
      </w:pPr>
      <w:r w:rsidRPr="009039E9">
        <w:rPr>
          <w:rFonts w:eastAsia="Calibri"/>
          <w:b/>
          <w:bCs/>
          <w:i/>
          <w:iCs/>
          <w:lang w:eastAsia="en-US"/>
        </w:rPr>
        <w:t>Trente-cinq millions (35 000 000) Francs CFA pour le lot 2 ;</w:t>
      </w:r>
    </w:p>
    <w:p w14:paraId="12C8FA12" w14:textId="77777777" w:rsidR="009039E9" w:rsidRPr="009039E9" w:rsidRDefault="009039E9" w:rsidP="009039E9">
      <w:pPr>
        <w:numPr>
          <w:ilvl w:val="0"/>
          <w:numId w:val="15"/>
        </w:numPr>
        <w:tabs>
          <w:tab w:val="right" w:pos="7254"/>
        </w:tabs>
        <w:suppressAutoHyphens/>
        <w:overflowPunct w:val="0"/>
        <w:autoSpaceDE w:val="0"/>
        <w:autoSpaceDN w:val="0"/>
        <w:adjustRightInd w:val="0"/>
        <w:spacing w:after="200" w:line="276" w:lineRule="auto"/>
        <w:jc w:val="both"/>
        <w:textAlignment w:val="baseline"/>
        <w:rPr>
          <w:rFonts w:eastAsia="Calibri"/>
          <w:b/>
          <w:bCs/>
          <w:lang w:eastAsia="en-US"/>
        </w:rPr>
      </w:pPr>
      <w:r w:rsidRPr="009039E9">
        <w:rPr>
          <w:rFonts w:eastAsia="Calibri"/>
          <w:b/>
          <w:bCs/>
          <w:i/>
          <w:iCs/>
          <w:lang w:eastAsia="en-US"/>
        </w:rPr>
        <w:t>Trente millions (30 000 000) Francs CFA pour le lot 3 ;</w:t>
      </w:r>
    </w:p>
    <w:p w14:paraId="432E4919" w14:textId="77777777" w:rsidR="009039E9" w:rsidRPr="009039E9" w:rsidRDefault="009039E9" w:rsidP="009039E9">
      <w:pPr>
        <w:numPr>
          <w:ilvl w:val="0"/>
          <w:numId w:val="15"/>
        </w:numPr>
        <w:tabs>
          <w:tab w:val="right" w:pos="7254"/>
        </w:tabs>
        <w:suppressAutoHyphens/>
        <w:overflowPunct w:val="0"/>
        <w:autoSpaceDE w:val="0"/>
        <w:autoSpaceDN w:val="0"/>
        <w:adjustRightInd w:val="0"/>
        <w:spacing w:after="200" w:line="276" w:lineRule="auto"/>
        <w:jc w:val="both"/>
        <w:textAlignment w:val="baseline"/>
        <w:rPr>
          <w:rFonts w:eastAsia="Calibri"/>
          <w:b/>
          <w:bCs/>
          <w:lang w:eastAsia="en-US"/>
        </w:rPr>
      </w:pPr>
      <w:r w:rsidRPr="009039E9">
        <w:rPr>
          <w:rFonts w:eastAsia="Calibri"/>
          <w:b/>
          <w:bCs/>
          <w:i/>
          <w:iCs/>
          <w:lang w:eastAsia="en-US"/>
        </w:rPr>
        <w:t>Cent millions (100 000 000) Francs CFA pour le lot 4 ;</w:t>
      </w:r>
    </w:p>
    <w:p w14:paraId="61B725A3" w14:textId="77777777" w:rsidR="009039E9" w:rsidRPr="009039E9" w:rsidRDefault="009039E9" w:rsidP="009039E9">
      <w:pPr>
        <w:numPr>
          <w:ilvl w:val="0"/>
          <w:numId w:val="15"/>
        </w:numPr>
        <w:tabs>
          <w:tab w:val="right" w:pos="7254"/>
        </w:tabs>
        <w:suppressAutoHyphens/>
        <w:overflowPunct w:val="0"/>
        <w:autoSpaceDE w:val="0"/>
        <w:autoSpaceDN w:val="0"/>
        <w:adjustRightInd w:val="0"/>
        <w:spacing w:after="200" w:line="276" w:lineRule="auto"/>
        <w:jc w:val="both"/>
        <w:textAlignment w:val="baseline"/>
        <w:rPr>
          <w:rFonts w:eastAsia="Calibri"/>
          <w:b/>
          <w:bCs/>
          <w:i/>
          <w:iCs/>
          <w:lang w:eastAsia="en-US"/>
        </w:rPr>
      </w:pPr>
      <w:r w:rsidRPr="009039E9">
        <w:rPr>
          <w:rFonts w:eastAsia="Calibri"/>
          <w:b/>
          <w:bCs/>
          <w:i/>
          <w:iCs/>
          <w:lang w:eastAsia="en-US"/>
        </w:rPr>
        <w:t>Vingt millions (20 000 000) Francs CFA pour le lot 5 ;</w:t>
      </w:r>
    </w:p>
    <w:p w14:paraId="4A2BCB16" w14:textId="77777777" w:rsidR="009039E9" w:rsidRPr="009039E9" w:rsidRDefault="009039E9" w:rsidP="009039E9">
      <w:pPr>
        <w:numPr>
          <w:ilvl w:val="0"/>
          <w:numId w:val="15"/>
        </w:numPr>
        <w:tabs>
          <w:tab w:val="right" w:pos="7254"/>
        </w:tabs>
        <w:suppressAutoHyphens/>
        <w:overflowPunct w:val="0"/>
        <w:autoSpaceDE w:val="0"/>
        <w:autoSpaceDN w:val="0"/>
        <w:adjustRightInd w:val="0"/>
        <w:spacing w:after="200" w:line="276" w:lineRule="auto"/>
        <w:jc w:val="both"/>
        <w:textAlignment w:val="baseline"/>
        <w:rPr>
          <w:rFonts w:eastAsia="Calibri"/>
          <w:b/>
          <w:bCs/>
          <w:i/>
          <w:iCs/>
          <w:lang w:eastAsia="en-US"/>
        </w:rPr>
      </w:pPr>
      <w:r w:rsidRPr="009039E9">
        <w:rPr>
          <w:rFonts w:eastAsia="Calibri"/>
          <w:b/>
          <w:bCs/>
          <w:i/>
          <w:iCs/>
          <w:lang w:eastAsia="en-US"/>
        </w:rPr>
        <w:lastRenderedPageBreak/>
        <w:t>Quinze millions (15 000 000) Francs CFA pour le lot 6.</w:t>
      </w:r>
    </w:p>
    <w:p w14:paraId="0D1AE1EA" w14:textId="77777777" w:rsidR="009039E9" w:rsidRPr="009039E9" w:rsidRDefault="009039E9" w:rsidP="009039E9">
      <w:pPr>
        <w:tabs>
          <w:tab w:val="right" w:pos="7254"/>
        </w:tabs>
        <w:suppressAutoHyphens/>
        <w:overflowPunct w:val="0"/>
        <w:autoSpaceDE w:val="0"/>
        <w:autoSpaceDN w:val="0"/>
        <w:adjustRightInd w:val="0"/>
        <w:spacing w:after="200"/>
        <w:jc w:val="both"/>
        <w:textAlignment w:val="baseline"/>
        <w:rPr>
          <w:rFonts w:eastAsia="Calibri"/>
          <w:b/>
          <w:bCs/>
          <w:lang w:eastAsia="en-US"/>
        </w:rPr>
      </w:pPr>
      <w:bookmarkStart w:id="3" w:name="_Hlk195086836"/>
      <w:r w:rsidRPr="009039E9">
        <w:rPr>
          <w:rFonts w:eastAsia="Calibri"/>
          <w:b/>
          <w:bCs/>
          <w:lang w:eastAsia="en-US"/>
        </w:rPr>
        <w:t xml:space="preserve">La garantie de soumission doit être une garantie bancaire c’est-à-dire émise par une banque. </w:t>
      </w:r>
    </w:p>
    <w:bookmarkEnd w:id="3"/>
    <w:p w14:paraId="5B597618" w14:textId="77777777" w:rsidR="009039E9" w:rsidRPr="009039E9" w:rsidRDefault="009039E9" w:rsidP="009039E9">
      <w:pPr>
        <w:tabs>
          <w:tab w:val="right" w:pos="7254"/>
        </w:tabs>
        <w:suppressAutoHyphens/>
        <w:overflowPunct w:val="0"/>
        <w:autoSpaceDE w:val="0"/>
        <w:autoSpaceDN w:val="0"/>
        <w:adjustRightInd w:val="0"/>
        <w:spacing w:after="200"/>
        <w:jc w:val="both"/>
        <w:textAlignment w:val="baseline"/>
        <w:rPr>
          <w:rFonts w:eastAsia="Calibri"/>
          <w:lang w:eastAsia="en-US"/>
        </w:rPr>
      </w:pPr>
      <w:r w:rsidRPr="009039E9">
        <w:rPr>
          <w:rFonts w:eastAsia="Calibri"/>
          <w:lang w:eastAsia="en-US"/>
        </w:rPr>
        <w:t>Lors de la soumission de leur offre. Cette garantie sera restituée aux soumissionnaires non retenus une fois que l’appel d’offres aura été mené à terme, et à l’attributaire ou aux attributaires après la signature du contrat par toutes les parties.</w:t>
      </w:r>
    </w:p>
    <w:p w14:paraId="12145761" w14:textId="77777777" w:rsidR="009039E9" w:rsidRPr="00B82EC9" w:rsidRDefault="009039E9" w:rsidP="009039E9">
      <w:pPr>
        <w:tabs>
          <w:tab w:val="right" w:pos="7254"/>
        </w:tabs>
        <w:suppressAutoHyphens/>
        <w:overflowPunct w:val="0"/>
        <w:autoSpaceDE w:val="0"/>
        <w:autoSpaceDN w:val="0"/>
        <w:adjustRightInd w:val="0"/>
        <w:spacing w:after="200"/>
        <w:jc w:val="both"/>
        <w:textAlignment w:val="baseline"/>
        <w:rPr>
          <w:rFonts w:eastAsia="Calibri"/>
          <w:b/>
          <w:bCs/>
          <w:i/>
          <w:iCs/>
          <w:lang w:eastAsia="en-US"/>
        </w:rPr>
      </w:pPr>
      <w:r w:rsidRPr="00B82EC9">
        <w:rPr>
          <w:rFonts w:eastAsia="Calibri"/>
          <w:b/>
          <w:bCs/>
          <w:i/>
          <w:iCs/>
          <w:lang w:eastAsia="en-US"/>
        </w:rPr>
        <w:t>L'original de la garantie de soumission doit être substantiellement conforme au modèle joint au dossier d'appel d'offres (une copie ne sera pas admise), sous peine de rejet de l'offre concernée. Si l'institution d'émission de la garantie est étrangère, elle devra avoir une institution financière correspondante située dans le pays de l'Autorité Contractante auprès de laquelle un appel en garantie pourrait être fait.</w:t>
      </w:r>
    </w:p>
    <w:p w14:paraId="3168E3DB" w14:textId="77777777" w:rsidR="009039E9" w:rsidRPr="00B82EC9" w:rsidRDefault="009039E9" w:rsidP="009039E9">
      <w:pPr>
        <w:tabs>
          <w:tab w:val="right" w:pos="7254"/>
        </w:tabs>
        <w:suppressAutoHyphens/>
        <w:overflowPunct w:val="0"/>
        <w:autoSpaceDE w:val="0"/>
        <w:autoSpaceDN w:val="0"/>
        <w:adjustRightInd w:val="0"/>
        <w:jc w:val="both"/>
        <w:textAlignment w:val="baseline"/>
        <w:rPr>
          <w:rFonts w:eastAsia="Calibri"/>
          <w:b/>
          <w:bCs/>
          <w:i/>
          <w:iCs/>
          <w:lang w:eastAsia="en-US"/>
        </w:rPr>
      </w:pPr>
      <w:r w:rsidRPr="00B82EC9">
        <w:rPr>
          <w:rFonts w:eastAsia="Calibri"/>
          <w:b/>
          <w:bCs/>
          <w:i/>
          <w:iCs/>
          <w:u w:val="single"/>
          <w:lang w:eastAsia="en-US"/>
        </w:rPr>
        <w:t>NB</w:t>
      </w:r>
      <w:r w:rsidRPr="00B82EC9">
        <w:rPr>
          <w:rFonts w:eastAsia="Calibri"/>
          <w:b/>
          <w:bCs/>
          <w:i/>
          <w:iCs/>
          <w:lang w:eastAsia="en-US"/>
        </w:rPr>
        <w:t xml:space="preserve"> : Les soumissionnaires devront prendre les dispositions auprès de leurs banques de domiciliation, de sorte que le délai de validité de la garantie de soumission soit celui </w:t>
      </w:r>
      <w:proofErr w:type="gramStart"/>
      <w:r w:rsidRPr="00B82EC9">
        <w:rPr>
          <w:rFonts w:eastAsia="Calibri"/>
          <w:b/>
          <w:bCs/>
          <w:i/>
          <w:iCs/>
          <w:lang w:eastAsia="en-US"/>
        </w:rPr>
        <w:t>des offres augmenté</w:t>
      </w:r>
      <w:proofErr w:type="gramEnd"/>
      <w:r w:rsidRPr="00B82EC9">
        <w:rPr>
          <w:rFonts w:eastAsia="Calibri"/>
          <w:b/>
          <w:bCs/>
          <w:i/>
          <w:iCs/>
          <w:lang w:eastAsia="en-US"/>
        </w:rPr>
        <w:t xml:space="preserve"> de vingt-huit (28) jours.  </w:t>
      </w:r>
    </w:p>
    <w:p w14:paraId="1FFA0434" w14:textId="77777777" w:rsidR="009039E9" w:rsidRPr="009039E9" w:rsidRDefault="009039E9" w:rsidP="009039E9">
      <w:pPr>
        <w:tabs>
          <w:tab w:val="right" w:pos="7254"/>
        </w:tabs>
        <w:suppressAutoHyphens/>
        <w:overflowPunct w:val="0"/>
        <w:autoSpaceDE w:val="0"/>
        <w:autoSpaceDN w:val="0"/>
        <w:adjustRightInd w:val="0"/>
        <w:jc w:val="both"/>
        <w:textAlignment w:val="baseline"/>
        <w:rPr>
          <w:rFonts w:eastAsia="Calibri"/>
          <w:b/>
          <w:bCs/>
          <w:lang w:eastAsia="en-US"/>
        </w:rPr>
      </w:pPr>
    </w:p>
    <w:p w14:paraId="558008D8" w14:textId="77777777" w:rsidR="009039E9" w:rsidRPr="009039E9" w:rsidRDefault="009039E9" w:rsidP="009039E9">
      <w:pPr>
        <w:keepNext/>
        <w:widowControl w:val="0"/>
        <w:suppressAutoHyphens/>
        <w:spacing w:before="100" w:after="100"/>
        <w:jc w:val="both"/>
        <w:outlineLvl w:val="0"/>
        <w:rPr>
          <w:rFonts w:eastAsia="Calibri"/>
          <w:b/>
          <w:lang w:eastAsia="en-US"/>
        </w:rPr>
      </w:pPr>
      <w:r w:rsidRPr="009039E9">
        <w:rPr>
          <w:rFonts w:eastAsia="Calibri"/>
          <w:b/>
          <w:lang w:eastAsia="en-US"/>
        </w:rPr>
        <w:t>10. Garantie de bonne exécution</w:t>
      </w:r>
    </w:p>
    <w:p w14:paraId="2BE02B06" w14:textId="77777777" w:rsidR="009039E9" w:rsidRPr="009039E9" w:rsidRDefault="009039E9" w:rsidP="009039E9">
      <w:pPr>
        <w:widowControl w:val="0"/>
        <w:suppressAutoHyphens/>
        <w:spacing w:before="100"/>
        <w:ind w:right="360"/>
        <w:jc w:val="both"/>
        <w:rPr>
          <w:b/>
          <w:bCs/>
          <w:lang w:eastAsia="ar-SA"/>
        </w:rPr>
      </w:pPr>
      <w:r w:rsidRPr="009039E9">
        <w:rPr>
          <w:lang w:eastAsia="ar-SA"/>
        </w:rPr>
        <w:t xml:space="preserve">Il sera demandé à l’attributaire de fournir une garantie de bonne exécution égale à </w:t>
      </w:r>
      <w:r w:rsidRPr="009039E9">
        <w:rPr>
          <w:b/>
          <w:bCs/>
          <w:lang w:eastAsia="ar-SA"/>
        </w:rPr>
        <w:t>10 %</w:t>
      </w:r>
      <w:r w:rsidRPr="009039E9">
        <w:rPr>
          <w:lang w:eastAsia="ar-SA"/>
        </w:rPr>
        <w:t xml:space="preserve"> du montant du marché à la signature du contrat. </w:t>
      </w:r>
      <w:r w:rsidRPr="009039E9">
        <w:rPr>
          <w:b/>
          <w:bCs/>
          <w:lang w:eastAsia="ar-SA"/>
        </w:rPr>
        <w:t xml:space="preserve">La garantie de bonne exécution doit être une garantie bancaire c’est-à-dire émise par des banques. </w:t>
      </w:r>
    </w:p>
    <w:p w14:paraId="51DF55E0" w14:textId="77777777" w:rsidR="009039E9" w:rsidRPr="00B82EC9" w:rsidRDefault="009039E9" w:rsidP="009039E9">
      <w:pPr>
        <w:widowControl w:val="0"/>
        <w:suppressAutoHyphens/>
        <w:jc w:val="both"/>
        <w:rPr>
          <w:sz w:val="12"/>
          <w:szCs w:val="12"/>
          <w:lang w:eastAsia="ar-SA"/>
        </w:rPr>
      </w:pPr>
    </w:p>
    <w:p w14:paraId="7FEE6443" w14:textId="77777777" w:rsidR="009039E9" w:rsidRPr="009039E9" w:rsidRDefault="009039E9" w:rsidP="009039E9">
      <w:pPr>
        <w:widowControl w:val="0"/>
        <w:suppressAutoHyphens/>
        <w:jc w:val="both"/>
        <w:rPr>
          <w:lang w:eastAsia="ar-SA"/>
        </w:rPr>
      </w:pPr>
      <w:r w:rsidRPr="009039E9">
        <w:rPr>
          <w:lang w:eastAsia="ar-SA"/>
        </w:rPr>
        <w:t>Cette garantie doit être fournie avec le contrat contresigné dans un délai de 15 jours à compter de la réception par le soumissionnaire du contrat signé par l’Autorité Contractante. Si l’attributaire ne fournit pas la garantie requise dans le délai imparti, le contrat sera frappé de nullité.</w:t>
      </w:r>
    </w:p>
    <w:p w14:paraId="77896223" w14:textId="77777777" w:rsidR="009039E9" w:rsidRPr="009039E9" w:rsidRDefault="009039E9" w:rsidP="009039E9">
      <w:pPr>
        <w:widowControl w:val="0"/>
        <w:suppressAutoHyphens/>
        <w:jc w:val="both"/>
        <w:rPr>
          <w:lang w:eastAsia="ar-SA"/>
        </w:rPr>
      </w:pPr>
    </w:p>
    <w:p w14:paraId="6C86C608" w14:textId="77777777" w:rsidR="009039E9" w:rsidRPr="009039E9" w:rsidRDefault="009039E9" w:rsidP="00B82EC9">
      <w:pPr>
        <w:keepNext/>
        <w:widowControl w:val="0"/>
        <w:suppressAutoHyphens/>
        <w:spacing w:after="100"/>
        <w:jc w:val="both"/>
        <w:outlineLvl w:val="0"/>
        <w:rPr>
          <w:rFonts w:eastAsia="Calibri"/>
          <w:b/>
          <w:lang w:eastAsia="en-US"/>
        </w:rPr>
      </w:pPr>
      <w:r w:rsidRPr="009039E9">
        <w:rPr>
          <w:rFonts w:eastAsia="Calibri"/>
          <w:b/>
          <w:lang w:eastAsia="en-US"/>
        </w:rPr>
        <w:t>11. Réunion d’information et/ou visite de site</w:t>
      </w:r>
    </w:p>
    <w:p w14:paraId="096821B6" w14:textId="77777777" w:rsidR="009039E9" w:rsidRPr="009039E9" w:rsidRDefault="009039E9" w:rsidP="009039E9">
      <w:pPr>
        <w:widowControl w:val="0"/>
        <w:suppressAutoHyphens/>
        <w:jc w:val="both"/>
        <w:rPr>
          <w:lang w:eastAsia="ar-SA"/>
        </w:rPr>
      </w:pPr>
      <w:r w:rsidRPr="009039E9">
        <w:rPr>
          <w:lang w:eastAsia="ar-SA"/>
        </w:rPr>
        <w:t>Aucune réunion d’information n’est prévue</w:t>
      </w:r>
    </w:p>
    <w:p w14:paraId="7AE1FFE1" w14:textId="77777777" w:rsidR="009039E9" w:rsidRPr="009039E9" w:rsidRDefault="009039E9" w:rsidP="009039E9">
      <w:pPr>
        <w:suppressAutoHyphens/>
        <w:jc w:val="both"/>
        <w:rPr>
          <w:lang w:eastAsia="ar-SA"/>
        </w:rPr>
      </w:pPr>
    </w:p>
    <w:p w14:paraId="4B2266DB" w14:textId="77777777" w:rsidR="009039E9" w:rsidRPr="009039E9" w:rsidRDefault="009039E9" w:rsidP="00B82EC9">
      <w:pPr>
        <w:keepNext/>
        <w:widowControl w:val="0"/>
        <w:suppressAutoHyphens/>
        <w:spacing w:after="100"/>
        <w:jc w:val="both"/>
        <w:outlineLvl w:val="0"/>
        <w:rPr>
          <w:rFonts w:eastAsia="Calibri"/>
          <w:b/>
          <w:lang w:eastAsia="en-US"/>
        </w:rPr>
      </w:pPr>
      <w:r w:rsidRPr="009039E9">
        <w:rPr>
          <w:rFonts w:eastAsia="Calibri"/>
          <w:b/>
          <w:lang w:eastAsia="en-US"/>
        </w:rPr>
        <w:t>12. Validité des offres</w:t>
      </w:r>
    </w:p>
    <w:p w14:paraId="01D0ACD0" w14:textId="77777777" w:rsidR="009039E9" w:rsidRPr="009039E9" w:rsidRDefault="009039E9" w:rsidP="009039E9">
      <w:pPr>
        <w:widowControl w:val="0"/>
        <w:suppressAutoHyphens/>
        <w:jc w:val="both"/>
        <w:rPr>
          <w:lang w:eastAsia="ar-SA"/>
        </w:rPr>
      </w:pPr>
      <w:r w:rsidRPr="009039E9">
        <w:rPr>
          <w:lang w:eastAsia="ar-SA"/>
        </w:rPr>
        <w:t>Les offres sont valables pendant une période de 90 jours à compter de la date limite de remise des offres.</w:t>
      </w:r>
    </w:p>
    <w:p w14:paraId="3D826574" w14:textId="77777777" w:rsidR="009039E9" w:rsidRPr="009039E9" w:rsidRDefault="009039E9" w:rsidP="009039E9">
      <w:pPr>
        <w:widowControl w:val="0"/>
        <w:suppressAutoHyphens/>
        <w:jc w:val="both"/>
        <w:rPr>
          <w:lang w:eastAsia="ar-SA"/>
        </w:rPr>
      </w:pPr>
    </w:p>
    <w:p w14:paraId="4E7AEE55" w14:textId="77777777" w:rsidR="009039E9" w:rsidRPr="009039E9" w:rsidRDefault="009039E9" w:rsidP="00B82EC9">
      <w:pPr>
        <w:keepNext/>
        <w:widowControl w:val="0"/>
        <w:suppressAutoHyphens/>
        <w:spacing w:after="100"/>
        <w:jc w:val="both"/>
        <w:outlineLvl w:val="0"/>
        <w:rPr>
          <w:rFonts w:eastAsia="Calibri"/>
          <w:b/>
          <w:lang w:eastAsia="en-US"/>
        </w:rPr>
      </w:pPr>
      <w:r w:rsidRPr="009039E9">
        <w:rPr>
          <w:rFonts w:eastAsia="Calibri"/>
          <w:b/>
          <w:lang w:eastAsia="en-US"/>
        </w:rPr>
        <w:t>13. Date prévue de commencement du marché</w:t>
      </w:r>
    </w:p>
    <w:p w14:paraId="5D15FF87" w14:textId="77777777" w:rsidR="009039E9" w:rsidRPr="009039E9" w:rsidRDefault="009039E9" w:rsidP="009039E9">
      <w:pPr>
        <w:widowControl w:val="0"/>
        <w:suppressAutoHyphens/>
        <w:jc w:val="both"/>
        <w:rPr>
          <w:iCs/>
          <w:lang w:eastAsia="ar-SA"/>
        </w:rPr>
      </w:pPr>
      <w:r w:rsidRPr="009039E9">
        <w:rPr>
          <w:iCs/>
          <w:lang w:eastAsia="ar-SA"/>
        </w:rPr>
        <w:t>Novembre 2025</w:t>
      </w:r>
    </w:p>
    <w:p w14:paraId="2FF8D747" w14:textId="77777777" w:rsidR="009039E9" w:rsidRPr="009039E9" w:rsidRDefault="009039E9" w:rsidP="009039E9">
      <w:pPr>
        <w:widowControl w:val="0"/>
        <w:suppressAutoHyphens/>
        <w:jc w:val="both"/>
        <w:rPr>
          <w:iCs/>
          <w:lang w:eastAsia="ar-SA"/>
        </w:rPr>
      </w:pPr>
    </w:p>
    <w:p w14:paraId="78679495" w14:textId="77777777" w:rsidR="009039E9" w:rsidRPr="009039E9" w:rsidRDefault="009039E9" w:rsidP="00B82EC9">
      <w:pPr>
        <w:keepNext/>
        <w:widowControl w:val="0"/>
        <w:suppressAutoHyphens/>
        <w:spacing w:after="100"/>
        <w:jc w:val="both"/>
        <w:outlineLvl w:val="0"/>
        <w:rPr>
          <w:rFonts w:eastAsia="Calibri"/>
          <w:b/>
          <w:lang w:eastAsia="en-US"/>
        </w:rPr>
      </w:pPr>
      <w:r w:rsidRPr="009039E9">
        <w:rPr>
          <w:rFonts w:eastAsia="Calibri"/>
          <w:b/>
          <w:lang w:eastAsia="en-US"/>
        </w:rPr>
        <w:t>14. Période de mise en œuvre des tâches</w:t>
      </w:r>
    </w:p>
    <w:p w14:paraId="38BC1782" w14:textId="77777777" w:rsidR="009039E9" w:rsidRPr="009039E9" w:rsidRDefault="009039E9" w:rsidP="009039E9">
      <w:pPr>
        <w:widowControl w:val="0"/>
        <w:suppressAutoHyphens/>
        <w:jc w:val="both"/>
        <w:rPr>
          <w:lang w:eastAsia="ar-SA"/>
        </w:rPr>
      </w:pPr>
      <w:r w:rsidRPr="009039E9">
        <w:rPr>
          <w:lang w:eastAsia="ar-SA"/>
        </w:rPr>
        <w:t>Le délai global d’exécution du marché est fixé à cinq cent quarante (540) jours calendaires, courant à compter de la date de signature du contrat jusqu’à la réception provisoire des ouvrages.</w:t>
      </w:r>
    </w:p>
    <w:p w14:paraId="22DEA7FA" w14:textId="77777777" w:rsidR="009039E9" w:rsidRPr="009039E9" w:rsidRDefault="009039E9" w:rsidP="009039E9">
      <w:pPr>
        <w:spacing w:line="276" w:lineRule="auto"/>
        <w:jc w:val="both"/>
        <w:rPr>
          <w:rFonts w:eastAsia="Calibri"/>
          <w:b/>
          <w:lang w:eastAsia="en-US"/>
        </w:rPr>
      </w:pPr>
    </w:p>
    <w:p w14:paraId="52DEDBD0" w14:textId="77777777" w:rsidR="009039E9" w:rsidRPr="009039E9" w:rsidRDefault="009039E9" w:rsidP="009039E9">
      <w:pPr>
        <w:numPr>
          <w:ilvl w:val="0"/>
          <w:numId w:val="19"/>
        </w:numPr>
        <w:spacing w:after="200" w:line="276" w:lineRule="auto"/>
        <w:contextualSpacing/>
        <w:jc w:val="both"/>
        <w:rPr>
          <w:rFonts w:eastAsia="Calibri"/>
          <w:b/>
          <w:lang w:eastAsia="en-US"/>
        </w:rPr>
      </w:pPr>
      <w:r w:rsidRPr="009039E9">
        <w:rPr>
          <w:rFonts w:eastAsia="Calibri"/>
          <w:b/>
          <w:lang w:eastAsia="en-US"/>
        </w:rPr>
        <w:t>CRITÈRES DE SELECTION ET D’ATTRIBUTION</w:t>
      </w:r>
    </w:p>
    <w:p w14:paraId="4AA3AB08" w14:textId="77777777" w:rsidR="009039E9" w:rsidRPr="009039E9" w:rsidRDefault="009039E9" w:rsidP="009039E9">
      <w:pPr>
        <w:spacing w:line="276" w:lineRule="auto"/>
        <w:jc w:val="both"/>
        <w:rPr>
          <w:rFonts w:eastAsia="Calibri"/>
          <w:lang w:eastAsia="en-US"/>
        </w:rPr>
      </w:pPr>
    </w:p>
    <w:p w14:paraId="03E51E0A" w14:textId="77777777" w:rsidR="009039E9" w:rsidRPr="009039E9" w:rsidRDefault="009039E9" w:rsidP="00B82EC9">
      <w:pPr>
        <w:keepNext/>
        <w:widowControl w:val="0"/>
        <w:suppressAutoHyphens/>
        <w:spacing w:after="100"/>
        <w:jc w:val="both"/>
        <w:outlineLvl w:val="0"/>
        <w:rPr>
          <w:rFonts w:eastAsia="Calibri"/>
          <w:b/>
          <w:lang w:eastAsia="en-US"/>
        </w:rPr>
      </w:pPr>
      <w:r w:rsidRPr="009039E9">
        <w:rPr>
          <w:rFonts w:eastAsia="Calibri"/>
          <w:b/>
          <w:lang w:eastAsia="en-US"/>
        </w:rPr>
        <w:t>15. Critères de sélection</w:t>
      </w:r>
    </w:p>
    <w:p w14:paraId="07BE07BB" w14:textId="77777777" w:rsidR="009039E9" w:rsidRPr="009039E9" w:rsidRDefault="009039E9" w:rsidP="009039E9">
      <w:pPr>
        <w:widowControl w:val="0"/>
        <w:suppressAutoHyphens/>
        <w:jc w:val="both"/>
        <w:rPr>
          <w:lang w:eastAsia="ar-SA"/>
        </w:rPr>
      </w:pPr>
      <w:r w:rsidRPr="009039E9">
        <w:rPr>
          <w:lang w:eastAsia="ar-SA"/>
        </w:rPr>
        <w:t>Les critères de sélection suivants seront appliqués aux soumissionnaires. Dans le cas où les offres seraient soumises par un consortium, ces critères de sélection s'appliqueront au consortium dans son ensemble :</w:t>
      </w:r>
    </w:p>
    <w:p w14:paraId="203B36D9" w14:textId="77777777" w:rsidR="009039E9" w:rsidRPr="009039E9" w:rsidRDefault="009039E9" w:rsidP="009039E9">
      <w:pPr>
        <w:widowControl w:val="0"/>
        <w:suppressAutoHyphens/>
        <w:jc w:val="both"/>
        <w:rPr>
          <w:lang w:eastAsia="ar-SA"/>
        </w:rPr>
      </w:pPr>
    </w:p>
    <w:p w14:paraId="1AB3F93A" w14:textId="77777777" w:rsidR="009039E9" w:rsidRPr="009039E9" w:rsidRDefault="009039E9" w:rsidP="009039E9">
      <w:pPr>
        <w:numPr>
          <w:ilvl w:val="0"/>
          <w:numId w:val="13"/>
        </w:numPr>
        <w:spacing w:after="120" w:line="276" w:lineRule="auto"/>
        <w:jc w:val="both"/>
        <w:rPr>
          <w:rFonts w:eastAsia="Calibri"/>
          <w:lang w:eastAsia="en-US"/>
        </w:rPr>
      </w:pPr>
      <w:proofErr w:type="gramStart"/>
      <w:r w:rsidRPr="009039E9">
        <w:rPr>
          <w:rFonts w:eastAsia="Calibri"/>
          <w:lang w:eastAsia="en-US"/>
        </w:rPr>
        <w:t>des</w:t>
      </w:r>
      <w:proofErr w:type="gramEnd"/>
      <w:r w:rsidRPr="009039E9">
        <w:rPr>
          <w:rFonts w:eastAsia="Calibri"/>
          <w:lang w:eastAsia="en-US"/>
        </w:rPr>
        <w:t xml:space="preserve"> informations sur les titres d’études et professionnels, avec l’indication du savoir-faire, de l’expérience et de l’expertise des personnes chargées de l’exécution ;</w:t>
      </w:r>
      <w:r w:rsidRPr="009039E9">
        <w:t xml:space="preserve"> </w:t>
      </w:r>
      <w:r w:rsidRPr="009039E9">
        <w:rPr>
          <w:rFonts w:eastAsia="Calibri"/>
          <w:lang w:eastAsia="en-US"/>
        </w:rPr>
        <w:t>Le Candidat doit établir qu’il dispose du personnel pour les positions-clés suivantes (uniquement pour les Lots 1 à 5) :</w:t>
      </w:r>
    </w:p>
    <w:p w14:paraId="056CEA1C" w14:textId="77777777" w:rsidR="009039E9" w:rsidRPr="0043315A" w:rsidRDefault="009039E9" w:rsidP="009039E9">
      <w:pPr>
        <w:spacing w:after="120"/>
        <w:jc w:val="both"/>
        <w:rPr>
          <w:rFonts w:eastAsia="Calibri"/>
          <w:sz w:val="12"/>
          <w:szCs w:val="12"/>
          <w:highlight w:val="cyan"/>
          <w:lang w:eastAsia="en-US"/>
        </w:rPr>
      </w:pPr>
    </w:p>
    <w:tbl>
      <w:tblPr>
        <w:tblW w:w="96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
        <w:gridCol w:w="1118"/>
        <w:gridCol w:w="1560"/>
        <w:gridCol w:w="1417"/>
        <w:gridCol w:w="2426"/>
        <w:gridCol w:w="2535"/>
      </w:tblGrid>
      <w:tr w:rsidR="009039E9" w:rsidRPr="009039E9" w14:paraId="618881E5" w14:textId="77777777" w:rsidTr="002D6626">
        <w:trPr>
          <w:trHeight w:val="20"/>
          <w:tblHeader/>
        </w:trPr>
        <w:tc>
          <w:tcPr>
            <w:tcW w:w="568" w:type="dxa"/>
            <w:tcBorders>
              <w:top w:val="single" w:sz="12" w:space="0" w:color="auto"/>
              <w:left w:val="single" w:sz="12" w:space="0" w:color="auto"/>
              <w:bottom w:val="single" w:sz="12" w:space="0" w:color="auto"/>
              <w:right w:val="single" w:sz="12" w:space="0" w:color="auto"/>
            </w:tcBorders>
            <w:vAlign w:val="center"/>
          </w:tcPr>
          <w:p w14:paraId="3E5DE4F3" w14:textId="77777777" w:rsidR="009039E9" w:rsidRPr="009039E9" w:rsidRDefault="009039E9" w:rsidP="009039E9">
            <w:pPr>
              <w:spacing w:line="276" w:lineRule="auto"/>
              <w:rPr>
                <w:rFonts w:eastAsia="Calibri"/>
                <w:b/>
                <w:i/>
                <w:sz w:val="22"/>
                <w:szCs w:val="22"/>
                <w:lang w:eastAsia="en-US"/>
              </w:rPr>
            </w:pPr>
            <w:r w:rsidRPr="009039E9">
              <w:rPr>
                <w:rFonts w:eastAsia="Calibri"/>
                <w:b/>
                <w:i/>
                <w:sz w:val="22"/>
                <w:szCs w:val="22"/>
                <w:lang w:eastAsia="en-US"/>
              </w:rPr>
              <w:lastRenderedPageBreak/>
              <w:t>N°</w:t>
            </w:r>
          </w:p>
        </w:tc>
        <w:tc>
          <w:tcPr>
            <w:tcW w:w="1118" w:type="dxa"/>
            <w:tcBorders>
              <w:top w:val="single" w:sz="12" w:space="0" w:color="auto"/>
              <w:left w:val="single" w:sz="12" w:space="0" w:color="auto"/>
              <w:bottom w:val="single" w:sz="12" w:space="0" w:color="auto"/>
              <w:right w:val="single" w:sz="12" w:space="0" w:color="auto"/>
            </w:tcBorders>
            <w:vAlign w:val="center"/>
          </w:tcPr>
          <w:p w14:paraId="332521A2" w14:textId="77777777" w:rsidR="009039E9" w:rsidRPr="009039E9" w:rsidRDefault="009039E9" w:rsidP="009039E9">
            <w:pPr>
              <w:spacing w:line="276" w:lineRule="auto"/>
              <w:rPr>
                <w:rFonts w:eastAsia="Calibri"/>
                <w:b/>
                <w:i/>
                <w:sz w:val="22"/>
                <w:szCs w:val="22"/>
                <w:lang w:eastAsia="en-US"/>
              </w:rPr>
            </w:pPr>
            <w:r w:rsidRPr="009039E9">
              <w:rPr>
                <w:rFonts w:eastAsia="Calibri"/>
                <w:b/>
                <w:i/>
                <w:sz w:val="22"/>
                <w:szCs w:val="22"/>
                <w:lang w:eastAsia="en-US"/>
              </w:rPr>
              <w:t>Nom et prénoms</w:t>
            </w:r>
          </w:p>
        </w:tc>
        <w:tc>
          <w:tcPr>
            <w:tcW w:w="1560" w:type="dxa"/>
            <w:tcBorders>
              <w:top w:val="single" w:sz="12" w:space="0" w:color="auto"/>
              <w:left w:val="single" w:sz="12" w:space="0" w:color="auto"/>
              <w:bottom w:val="single" w:sz="12" w:space="0" w:color="auto"/>
              <w:right w:val="single" w:sz="12" w:space="0" w:color="auto"/>
            </w:tcBorders>
            <w:vAlign w:val="center"/>
          </w:tcPr>
          <w:p w14:paraId="32881826" w14:textId="77777777" w:rsidR="009039E9" w:rsidRPr="009039E9" w:rsidRDefault="009039E9" w:rsidP="009039E9">
            <w:pPr>
              <w:spacing w:line="276" w:lineRule="auto"/>
              <w:rPr>
                <w:rFonts w:eastAsia="Calibri"/>
                <w:b/>
                <w:i/>
                <w:sz w:val="22"/>
                <w:szCs w:val="22"/>
                <w:lang w:eastAsia="en-US"/>
              </w:rPr>
            </w:pPr>
            <w:r w:rsidRPr="009039E9">
              <w:rPr>
                <w:rFonts w:eastAsia="Calibri"/>
                <w:b/>
                <w:i/>
                <w:sz w:val="22"/>
                <w:szCs w:val="22"/>
                <w:lang w:eastAsia="en-US"/>
              </w:rPr>
              <w:t>Position</w:t>
            </w:r>
          </w:p>
        </w:tc>
        <w:tc>
          <w:tcPr>
            <w:tcW w:w="1417" w:type="dxa"/>
            <w:tcBorders>
              <w:top w:val="single" w:sz="12" w:space="0" w:color="auto"/>
              <w:left w:val="single" w:sz="12" w:space="0" w:color="auto"/>
              <w:bottom w:val="single" w:sz="12" w:space="0" w:color="auto"/>
              <w:right w:val="single" w:sz="12" w:space="0" w:color="auto"/>
            </w:tcBorders>
            <w:vAlign w:val="center"/>
          </w:tcPr>
          <w:p w14:paraId="2A132A8B" w14:textId="77777777" w:rsidR="009039E9" w:rsidRPr="009039E9" w:rsidRDefault="009039E9" w:rsidP="009039E9">
            <w:pPr>
              <w:spacing w:line="276" w:lineRule="auto"/>
              <w:rPr>
                <w:rFonts w:eastAsia="Calibri"/>
                <w:b/>
                <w:i/>
                <w:sz w:val="22"/>
                <w:szCs w:val="22"/>
                <w:lang w:eastAsia="en-US"/>
              </w:rPr>
            </w:pPr>
            <w:r w:rsidRPr="009039E9">
              <w:rPr>
                <w:rFonts w:eastAsia="Calibri"/>
                <w:b/>
                <w:i/>
                <w:sz w:val="22"/>
                <w:szCs w:val="22"/>
                <w:lang w:eastAsia="en-US"/>
              </w:rPr>
              <w:t>Expérience globale en travaux (années)</w:t>
            </w:r>
          </w:p>
        </w:tc>
        <w:tc>
          <w:tcPr>
            <w:tcW w:w="2426" w:type="dxa"/>
            <w:tcBorders>
              <w:top w:val="single" w:sz="12" w:space="0" w:color="auto"/>
              <w:left w:val="single" w:sz="12" w:space="0" w:color="auto"/>
              <w:bottom w:val="single" w:sz="12" w:space="0" w:color="auto"/>
              <w:right w:val="single" w:sz="12" w:space="0" w:color="auto"/>
            </w:tcBorders>
            <w:vAlign w:val="center"/>
          </w:tcPr>
          <w:p w14:paraId="3C53EDF0" w14:textId="77777777" w:rsidR="009039E9" w:rsidRPr="009039E9" w:rsidRDefault="009039E9" w:rsidP="009039E9">
            <w:pPr>
              <w:spacing w:line="276" w:lineRule="auto"/>
              <w:rPr>
                <w:rFonts w:eastAsia="Calibri"/>
                <w:b/>
                <w:i/>
                <w:sz w:val="22"/>
                <w:szCs w:val="22"/>
                <w:lang w:eastAsia="en-US"/>
              </w:rPr>
            </w:pPr>
            <w:r w:rsidRPr="009039E9">
              <w:rPr>
                <w:rFonts w:eastAsia="Calibri"/>
                <w:b/>
                <w:i/>
                <w:sz w:val="22"/>
                <w:szCs w:val="22"/>
                <w:lang w:eastAsia="en-US"/>
              </w:rPr>
              <w:t>Nombre d’expérience dans des travaux similaires</w:t>
            </w:r>
          </w:p>
        </w:tc>
        <w:tc>
          <w:tcPr>
            <w:tcW w:w="2535" w:type="dxa"/>
            <w:tcBorders>
              <w:top w:val="single" w:sz="12" w:space="0" w:color="auto"/>
              <w:left w:val="single" w:sz="12" w:space="0" w:color="auto"/>
              <w:bottom w:val="single" w:sz="12" w:space="0" w:color="auto"/>
              <w:right w:val="single" w:sz="12" w:space="0" w:color="auto"/>
            </w:tcBorders>
            <w:vAlign w:val="center"/>
          </w:tcPr>
          <w:p w14:paraId="7ADBE90D" w14:textId="77777777" w:rsidR="009039E9" w:rsidRPr="009039E9" w:rsidRDefault="009039E9" w:rsidP="009039E9">
            <w:pPr>
              <w:spacing w:line="276" w:lineRule="auto"/>
              <w:rPr>
                <w:rFonts w:eastAsia="Calibri"/>
                <w:b/>
                <w:i/>
                <w:sz w:val="22"/>
                <w:szCs w:val="22"/>
                <w:lang w:eastAsia="en-US"/>
              </w:rPr>
            </w:pPr>
            <w:r w:rsidRPr="009039E9">
              <w:rPr>
                <w:rFonts w:eastAsia="Calibri"/>
                <w:b/>
                <w:bCs/>
                <w:i/>
                <w:iCs/>
                <w:color w:val="000000"/>
                <w:spacing w:val="-1"/>
                <w:sz w:val="22"/>
                <w:szCs w:val="22"/>
                <w:lang w:val="en-US" w:eastAsia="en-US"/>
              </w:rPr>
              <w:t xml:space="preserve">Qualification </w:t>
            </w:r>
            <w:proofErr w:type="spellStart"/>
            <w:r w:rsidRPr="009039E9">
              <w:rPr>
                <w:rFonts w:eastAsia="Calibri"/>
                <w:b/>
                <w:bCs/>
                <w:i/>
                <w:iCs/>
                <w:color w:val="000000"/>
                <w:spacing w:val="-1"/>
                <w:sz w:val="22"/>
                <w:szCs w:val="22"/>
                <w:lang w:val="en-US" w:eastAsia="en-US"/>
              </w:rPr>
              <w:t>Requise</w:t>
            </w:r>
            <w:proofErr w:type="spellEnd"/>
          </w:p>
        </w:tc>
      </w:tr>
      <w:tr w:rsidR="009039E9" w:rsidRPr="009039E9" w14:paraId="1027C365" w14:textId="77777777" w:rsidTr="002D6626">
        <w:trPr>
          <w:trHeight w:val="20"/>
        </w:trPr>
        <w:tc>
          <w:tcPr>
            <w:tcW w:w="568" w:type="dxa"/>
            <w:tcBorders>
              <w:top w:val="single" w:sz="12" w:space="0" w:color="auto"/>
              <w:left w:val="single" w:sz="6" w:space="0" w:color="auto"/>
              <w:bottom w:val="single" w:sz="6" w:space="0" w:color="auto"/>
              <w:right w:val="single" w:sz="6" w:space="0" w:color="auto"/>
            </w:tcBorders>
            <w:vAlign w:val="center"/>
          </w:tcPr>
          <w:p w14:paraId="4CEC16DE" w14:textId="77777777" w:rsidR="009039E9" w:rsidRPr="009039E9" w:rsidRDefault="009039E9" w:rsidP="009039E9">
            <w:pPr>
              <w:tabs>
                <w:tab w:val="center" w:pos="4536"/>
                <w:tab w:val="right" w:pos="9072"/>
              </w:tabs>
              <w:suppressAutoHyphens/>
              <w:rPr>
                <w:i/>
                <w:sz w:val="22"/>
                <w:szCs w:val="22"/>
                <w:lang w:eastAsia="ar-SA"/>
              </w:rPr>
            </w:pPr>
            <w:r w:rsidRPr="009039E9">
              <w:rPr>
                <w:i/>
                <w:sz w:val="22"/>
                <w:szCs w:val="22"/>
                <w:lang w:eastAsia="ar-SA"/>
              </w:rPr>
              <w:t>1</w:t>
            </w:r>
          </w:p>
        </w:tc>
        <w:tc>
          <w:tcPr>
            <w:tcW w:w="1118" w:type="dxa"/>
            <w:tcBorders>
              <w:top w:val="single" w:sz="12" w:space="0" w:color="auto"/>
              <w:left w:val="single" w:sz="6" w:space="0" w:color="auto"/>
              <w:bottom w:val="single" w:sz="6" w:space="0" w:color="auto"/>
              <w:right w:val="single" w:sz="6" w:space="0" w:color="auto"/>
            </w:tcBorders>
            <w:vAlign w:val="center"/>
          </w:tcPr>
          <w:p w14:paraId="183612F9" w14:textId="77777777" w:rsidR="009039E9" w:rsidRPr="009039E9" w:rsidRDefault="009039E9" w:rsidP="009039E9">
            <w:pPr>
              <w:spacing w:line="276" w:lineRule="auto"/>
              <w:rPr>
                <w:rFonts w:eastAsia="Calibri"/>
                <w:i/>
                <w:sz w:val="22"/>
                <w:szCs w:val="22"/>
                <w:lang w:eastAsia="en-US"/>
              </w:rPr>
            </w:pPr>
          </w:p>
        </w:tc>
        <w:tc>
          <w:tcPr>
            <w:tcW w:w="1560" w:type="dxa"/>
            <w:tcBorders>
              <w:top w:val="single" w:sz="12" w:space="0" w:color="auto"/>
              <w:left w:val="single" w:sz="6" w:space="0" w:color="auto"/>
              <w:bottom w:val="single" w:sz="6" w:space="0" w:color="auto"/>
              <w:right w:val="single" w:sz="6" w:space="0" w:color="auto"/>
            </w:tcBorders>
            <w:vAlign w:val="center"/>
          </w:tcPr>
          <w:p w14:paraId="6D82A981" w14:textId="77777777" w:rsidR="009039E9" w:rsidRPr="009039E9" w:rsidRDefault="009039E9" w:rsidP="009039E9">
            <w:pPr>
              <w:spacing w:line="276" w:lineRule="auto"/>
              <w:rPr>
                <w:rFonts w:eastAsia="Calibri"/>
                <w:i/>
                <w:sz w:val="22"/>
                <w:szCs w:val="22"/>
                <w:lang w:eastAsia="en-US"/>
              </w:rPr>
            </w:pPr>
            <w:r w:rsidRPr="009039E9">
              <w:rPr>
                <w:rFonts w:eastAsia="Calibri"/>
                <w:i/>
                <w:sz w:val="22"/>
                <w:szCs w:val="22"/>
                <w:lang w:val="en-US" w:eastAsia="en-US"/>
              </w:rPr>
              <w:t xml:space="preserve">Directeur de </w:t>
            </w:r>
            <w:proofErr w:type="spellStart"/>
            <w:r w:rsidRPr="009039E9">
              <w:rPr>
                <w:rFonts w:eastAsia="Calibri"/>
                <w:i/>
                <w:sz w:val="22"/>
                <w:szCs w:val="22"/>
                <w:lang w:val="en-US" w:eastAsia="en-US"/>
              </w:rPr>
              <w:t>Projet</w:t>
            </w:r>
            <w:proofErr w:type="spellEnd"/>
            <w:r w:rsidRPr="009039E9">
              <w:rPr>
                <w:rFonts w:eastAsia="Calibri"/>
                <w:i/>
                <w:sz w:val="22"/>
                <w:szCs w:val="22"/>
                <w:lang w:val="en-US" w:eastAsia="en-US"/>
              </w:rPr>
              <w:t xml:space="preserve"> (</w:t>
            </w:r>
            <w:proofErr w:type="spellStart"/>
            <w:r w:rsidRPr="009039E9">
              <w:rPr>
                <w:rFonts w:eastAsia="Calibri"/>
                <w:i/>
                <w:sz w:val="22"/>
                <w:szCs w:val="22"/>
                <w:lang w:val="en-US" w:eastAsia="en-US"/>
              </w:rPr>
              <w:t>Siège</w:t>
            </w:r>
            <w:proofErr w:type="spellEnd"/>
            <w:r w:rsidRPr="009039E9">
              <w:rPr>
                <w:rFonts w:eastAsia="Calibri"/>
                <w:i/>
                <w:sz w:val="22"/>
                <w:szCs w:val="22"/>
                <w:lang w:val="en-US" w:eastAsia="en-US"/>
              </w:rPr>
              <w:t>)</w:t>
            </w:r>
          </w:p>
        </w:tc>
        <w:tc>
          <w:tcPr>
            <w:tcW w:w="1417" w:type="dxa"/>
            <w:tcBorders>
              <w:top w:val="single" w:sz="12" w:space="0" w:color="auto"/>
              <w:left w:val="single" w:sz="6" w:space="0" w:color="auto"/>
              <w:bottom w:val="single" w:sz="6" w:space="0" w:color="auto"/>
              <w:right w:val="single" w:sz="6" w:space="0" w:color="auto"/>
            </w:tcBorders>
            <w:vAlign w:val="center"/>
          </w:tcPr>
          <w:p w14:paraId="48ADABE7" w14:textId="77777777" w:rsidR="009039E9" w:rsidRPr="009039E9" w:rsidRDefault="009039E9" w:rsidP="009039E9">
            <w:pPr>
              <w:spacing w:line="276" w:lineRule="auto"/>
              <w:rPr>
                <w:rFonts w:eastAsia="Calibri"/>
                <w:i/>
                <w:sz w:val="22"/>
                <w:szCs w:val="22"/>
                <w:lang w:eastAsia="en-US"/>
              </w:rPr>
            </w:pPr>
            <w:r w:rsidRPr="009039E9">
              <w:rPr>
                <w:rFonts w:eastAsia="Calibri"/>
                <w:color w:val="000000"/>
                <w:sz w:val="22"/>
                <w:szCs w:val="22"/>
                <w:lang w:val="en-US" w:eastAsia="en-US"/>
              </w:rPr>
              <w:t xml:space="preserve">15 </w:t>
            </w:r>
            <w:proofErr w:type="spellStart"/>
            <w:r w:rsidRPr="009039E9">
              <w:rPr>
                <w:rFonts w:eastAsia="Calibri"/>
                <w:color w:val="000000"/>
                <w:sz w:val="22"/>
                <w:szCs w:val="22"/>
                <w:lang w:val="en-US" w:eastAsia="en-US"/>
              </w:rPr>
              <w:t>ans</w:t>
            </w:r>
            <w:proofErr w:type="spellEnd"/>
          </w:p>
        </w:tc>
        <w:tc>
          <w:tcPr>
            <w:tcW w:w="2426" w:type="dxa"/>
            <w:tcBorders>
              <w:top w:val="single" w:sz="12" w:space="0" w:color="auto"/>
              <w:left w:val="single" w:sz="6" w:space="0" w:color="auto"/>
              <w:bottom w:val="single" w:sz="6" w:space="0" w:color="auto"/>
              <w:right w:val="single" w:sz="6" w:space="0" w:color="auto"/>
            </w:tcBorders>
            <w:vAlign w:val="center"/>
          </w:tcPr>
          <w:p w14:paraId="49A8A871" w14:textId="77777777" w:rsidR="009039E9" w:rsidRPr="009039E9" w:rsidRDefault="009039E9" w:rsidP="009039E9">
            <w:pPr>
              <w:spacing w:line="276" w:lineRule="auto"/>
              <w:jc w:val="both"/>
              <w:rPr>
                <w:rFonts w:eastAsia="Calibri"/>
                <w:color w:val="000000"/>
                <w:sz w:val="22"/>
                <w:szCs w:val="22"/>
                <w:lang w:eastAsia="en-US"/>
              </w:rPr>
            </w:pPr>
            <w:r w:rsidRPr="009039E9">
              <w:rPr>
                <w:rFonts w:eastAsia="Calibri"/>
                <w:color w:val="000000"/>
                <w:sz w:val="22"/>
                <w:szCs w:val="22"/>
                <w:lang w:eastAsia="en-US"/>
              </w:rPr>
              <w:t xml:space="preserve">Trois (03) marchés similaires au cours des dix (10) dernières années </w:t>
            </w:r>
          </w:p>
        </w:tc>
        <w:tc>
          <w:tcPr>
            <w:tcW w:w="2535" w:type="dxa"/>
            <w:tcBorders>
              <w:top w:val="single" w:sz="12" w:space="0" w:color="auto"/>
              <w:left w:val="single" w:sz="6" w:space="0" w:color="auto"/>
              <w:bottom w:val="single" w:sz="6" w:space="0" w:color="auto"/>
              <w:right w:val="single" w:sz="6" w:space="0" w:color="auto"/>
            </w:tcBorders>
            <w:vAlign w:val="center"/>
          </w:tcPr>
          <w:p w14:paraId="6652C3A0" w14:textId="77777777" w:rsidR="009039E9" w:rsidRPr="009039E9" w:rsidRDefault="009039E9" w:rsidP="009039E9">
            <w:pPr>
              <w:spacing w:line="276" w:lineRule="auto"/>
              <w:rPr>
                <w:rFonts w:eastAsia="Calibri"/>
                <w:color w:val="000000"/>
                <w:sz w:val="22"/>
                <w:szCs w:val="22"/>
                <w:lang w:eastAsia="en-US"/>
              </w:rPr>
            </w:pPr>
            <w:r w:rsidRPr="009039E9">
              <w:rPr>
                <w:rFonts w:eastAsia="Calibri"/>
                <w:color w:val="000000"/>
                <w:sz w:val="22"/>
                <w:szCs w:val="22"/>
                <w:lang w:eastAsia="en-US"/>
              </w:rPr>
              <w:t>Diplôme Bac+5 ou tout autre diplôme reconnu équivalent en génie électrique ou toutes disciplines similaires.</w:t>
            </w:r>
          </w:p>
        </w:tc>
      </w:tr>
      <w:tr w:rsidR="009039E9" w:rsidRPr="009039E9" w14:paraId="6E6953DB" w14:textId="77777777" w:rsidTr="002D6626">
        <w:trPr>
          <w:trHeight w:val="20"/>
        </w:trPr>
        <w:tc>
          <w:tcPr>
            <w:tcW w:w="568" w:type="dxa"/>
            <w:tcBorders>
              <w:top w:val="single" w:sz="6" w:space="0" w:color="auto"/>
              <w:left w:val="single" w:sz="6" w:space="0" w:color="auto"/>
              <w:bottom w:val="single" w:sz="6" w:space="0" w:color="auto"/>
              <w:right w:val="single" w:sz="6" w:space="0" w:color="auto"/>
            </w:tcBorders>
            <w:vAlign w:val="center"/>
          </w:tcPr>
          <w:p w14:paraId="607FAD3E" w14:textId="77777777" w:rsidR="009039E9" w:rsidRPr="009039E9" w:rsidRDefault="009039E9" w:rsidP="009039E9">
            <w:pPr>
              <w:spacing w:line="276" w:lineRule="auto"/>
              <w:rPr>
                <w:rFonts w:eastAsia="Calibri"/>
                <w:i/>
                <w:sz w:val="22"/>
                <w:szCs w:val="22"/>
                <w:lang w:eastAsia="en-US"/>
              </w:rPr>
            </w:pPr>
            <w:r w:rsidRPr="009039E9">
              <w:rPr>
                <w:rFonts w:eastAsia="Calibri"/>
                <w:i/>
                <w:sz w:val="22"/>
                <w:szCs w:val="22"/>
                <w:lang w:eastAsia="en-US"/>
              </w:rPr>
              <w:t>2</w:t>
            </w:r>
          </w:p>
        </w:tc>
        <w:tc>
          <w:tcPr>
            <w:tcW w:w="1118" w:type="dxa"/>
            <w:tcBorders>
              <w:top w:val="single" w:sz="6" w:space="0" w:color="auto"/>
              <w:left w:val="single" w:sz="6" w:space="0" w:color="auto"/>
              <w:bottom w:val="single" w:sz="6" w:space="0" w:color="auto"/>
              <w:right w:val="single" w:sz="6" w:space="0" w:color="auto"/>
            </w:tcBorders>
            <w:vAlign w:val="center"/>
          </w:tcPr>
          <w:p w14:paraId="1D25FC2B" w14:textId="77777777" w:rsidR="009039E9" w:rsidRPr="009039E9" w:rsidRDefault="009039E9" w:rsidP="009039E9">
            <w:pPr>
              <w:spacing w:line="276" w:lineRule="auto"/>
              <w:rPr>
                <w:rFonts w:eastAsia="Calibri"/>
                <w:i/>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vAlign w:val="center"/>
          </w:tcPr>
          <w:p w14:paraId="5547AC86" w14:textId="77777777" w:rsidR="009039E9" w:rsidRPr="009039E9" w:rsidRDefault="009039E9" w:rsidP="009039E9">
            <w:pPr>
              <w:spacing w:line="276" w:lineRule="auto"/>
              <w:rPr>
                <w:rFonts w:eastAsia="Calibri"/>
                <w:i/>
                <w:sz w:val="22"/>
                <w:szCs w:val="22"/>
                <w:lang w:eastAsia="en-US"/>
              </w:rPr>
            </w:pPr>
            <w:r w:rsidRPr="009039E9">
              <w:rPr>
                <w:rFonts w:eastAsia="Calibri"/>
                <w:color w:val="000000"/>
                <w:sz w:val="22"/>
                <w:szCs w:val="22"/>
                <w:lang w:eastAsia="en-US"/>
              </w:rPr>
              <w:t>Coordonnateur de Projet (Résident)</w:t>
            </w:r>
          </w:p>
        </w:tc>
        <w:tc>
          <w:tcPr>
            <w:tcW w:w="1417" w:type="dxa"/>
            <w:tcBorders>
              <w:top w:val="single" w:sz="6" w:space="0" w:color="auto"/>
              <w:left w:val="single" w:sz="6" w:space="0" w:color="auto"/>
              <w:bottom w:val="single" w:sz="6" w:space="0" w:color="auto"/>
              <w:right w:val="single" w:sz="6" w:space="0" w:color="auto"/>
            </w:tcBorders>
            <w:vAlign w:val="center"/>
          </w:tcPr>
          <w:p w14:paraId="39B285A5" w14:textId="77777777" w:rsidR="009039E9" w:rsidRPr="009039E9" w:rsidRDefault="009039E9" w:rsidP="009039E9">
            <w:pPr>
              <w:spacing w:line="276" w:lineRule="auto"/>
              <w:rPr>
                <w:rFonts w:eastAsia="Calibri"/>
                <w:color w:val="000000"/>
                <w:sz w:val="22"/>
                <w:szCs w:val="22"/>
                <w:lang w:val="en-US" w:eastAsia="en-US"/>
              </w:rPr>
            </w:pPr>
            <w:r w:rsidRPr="009039E9">
              <w:rPr>
                <w:rFonts w:eastAsia="Calibri"/>
                <w:color w:val="000000"/>
                <w:sz w:val="22"/>
                <w:szCs w:val="22"/>
                <w:lang w:val="en-US" w:eastAsia="en-US"/>
              </w:rPr>
              <w:t xml:space="preserve">10 </w:t>
            </w:r>
            <w:proofErr w:type="spellStart"/>
            <w:r w:rsidRPr="009039E9">
              <w:rPr>
                <w:rFonts w:eastAsia="Calibri"/>
                <w:color w:val="000000"/>
                <w:sz w:val="22"/>
                <w:szCs w:val="22"/>
                <w:lang w:val="en-US" w:eastAsia="en-US"/>
              </w:rPr>
              <w:t>ans</w:t>
            </w:r>
            <w:proofErr w:type="spellEnd"/>
          </w:p>
        </w:tc>
        <w:tc>
          <w:tcPr>
            <w:tcW w:w="2426" w:type="dxa"/>
            <w:tcBorders>
              <w:top w:val="single" w:sz="6" w:space="0" w:color="auto"/>
              <w:left w:val="single" w:sz="6" w:space="0" w:color="auto"/>
              <w:bottom w:val="single" w:sz="6" w:space="0" w:color="auto"/>
              <w:right w:val="single" w:sz="6" w:space="0" w:color="auto"/>
            </w:tcBorders>
            <w:vAlign w:val="center"/>
          </w:tcPr>
          <w:p w14:paraId="10BDD32D" w14:textId="77777777" w:rsidR="009039E9" w:rsidRPr="009039E9" w:rsidRDefault="009039E9" w:rsidP="009039E9">
            <w:pPr>
              <w:spacing w:line="276" w:lineRule="auto"/>
              <w:jc w:val="both"/>
              <w:rPr>
                <w:rFonts w:eastAsia="Calibri"/>
                <w:color w:val="000000"/>
                <w:sz w:val="22"/>
                <w:szCs w:val="22"/>
                <w:lang w:eastAsia="en-US"/>
              </w:rPr>
            </w:pPr>
            <w:r w:rsidRPr="009039E9">
              <w:rPr>
                <w:rFonts w:eastAsia="Calibri"/>
                <w:color w:val="000000"/>
                <w:sz w:val="22"/>
                <w:szCs w:val="22"/>
                <w:lang w:eastAsia="en-US"/>
              </w:rPr>
              <w:t>Trois (03) marchés similaires au cours des sept (7) dernières années</w:t>
            </w:r>
          </w:p>
        </w:tc>
        <w:tc>
          <w:tcPr>
            <w:tcW w:w="2535" w:type="dxa"/>
            <w:tcBorders>
              <w:top w:val="single" w:sz="6" w:space="0" w:color="auto"/>
              <w:left w:val="single" w:sz="6" w:space="0" w:color="auto"/>
              <w:bottom w:val="single" w:sz="6" w:space="0" w:color="auto"/>
              <w:right w:val="single" w:sz="6" w:space="0" w:color="auto"/>
            </w:tcBorders>
            <w:vAlign w:val="center"/>
          </w:tcPr>
          <w:p w14:paraId="5D5B1CB8" w14:textId="77777777" w:rsidR="009039E9" w:rsidRPr="009039E9" w:rsidRDefault="009039E9" w:rsidP="009039E9">
            <w:pPr>
              <w:spacing w:line="276" w:lineRule="auto"/>
              <w:rPr>
                <w:rFonts w:eastAsia="Calibri"/>
                <w:color w:val="000000"/>
                <w:sz w:val="22"/>
                <w:szCs w:val="22"/>
                <w:lang w:eastAsia="en-US"/>
              </w:rPr>
            </w:pPr>
            <w:r w:rsidRPr="009039E9">
              <w:rPr>
                <w:rFonts w:eastAsia="Calibri"/>
                <w:color w:val="000000"/>
                <w:sz w:val="22"/>
                <w:szCs w:val="22"/>
                <w:lang w:eastAsia="en-US"/>
              </w:rPr>
              <w:t>Diplôme Bac+5 ou tout autre diplôme reconnu équivalent en génie électrique</w:t>
            </w:r>
          </w:p>
          <w:p w14:paraId="0B69A19A" w14:textId="77777777" w:rsidR="009039E9" w:rsidRPr="009039E9" w:rsidRDefault="009039E9" w:rsidP="009039E9">
            <w:pPr>
              <w:spacing w:line="276" w:lineRule="auto"/>
              <w:rPr>
                <w:rFonts w:eastAsia="Calibri"/>
                <w:color w:val="000000"/>
                <w:sz w:val="22"/>
                <w:szCs w:val="22"/>
                <w:lang w:eastAsia="en-US"/>
              </w:rPr>
            </w:pPr>
            <w:proofErr w:type="gramStart"/>
            <w:r w:rsidRPr="009039E9">
              <w:rPr>
                <w:rFonts w:eastAsia="Calibri"/>
                <w:color w:val="000000"/>
                <w:sz w:val="22"/>
                <w:szCs w:val="22"/>
                <w:lang w:eastAsia="en-US"/>
              </w:rPr>
              <w:t>ou</w:t>
            </w:r>
            <w:proofErr w:type="gramEnd"/>
            <w:r w:rsidRPr="009039E9">
              <w:rPr>
                <w:rFonts w:eastAsia="Calibri"/>
                <w:color w:val="000000"/>
                <w:sz w:val="22"/>
                <w:szCs w:val="22"/>
                <w:lang w:eastAsia="en-US"/>
              </w:rPr>
              <w:t xml:space="preserve"> toutes disciplines similaires.</w:t>
            </w:r>
          </w:p>
        </w:tc>
      </w:tr>
      <w:tr w:rsidR="009039E9" w:rsidRPr="009039E9" w14:paraId="4D4D446D" w14:textId="77777777" w:rsidTr="002D6626">
        <w:trPr>
          <w:trHeight w:val="20"/>
        </w:trPr>
        <w:tc>
          <w:tcPr>
            <w:tcW w:w="568" w:type="dxa"/>
            <w:tcBorders>
              <w:top w:val="single" w:sz="6" w:space="0" w:color="auto"/>
              <w:left w:val="single" w:sz="6" w:space="0" w:color="auto"/>
              <w:bottom w:val="single" w:sz="6" w:space="0" w:color="auto"/>
              <w:right w:val="single" w:sz="6" w:space="0" w:color="auto"/>
            </w:tcBorders>
            <w:vAlign w:val="center"/>
          </w:tcPr>
          <w:p w14:paraId="59C2DA44" w14:textId="77777777" w:rsidR="009039E9" w:rsidRPr="009039E9" w:rsidRDefault="009039E9" w:rsidP="009039E9">
            <w:pPr>
              <w:spacing w:line="276" w:lineRule="auto"/>
              <w:rPr>
                <w:rFonts w:eastAsia="Calibri"/>
                <w:i/>
                <w:sz w:val="22"/>
                <w:szCs w:val="22"/>
                <w:u w:val="single"/>
                <w:lang w:eastAsia="en-US"/>
              </w:rPr>
            </w:pPr>
            <w:r w:rsidRPr="009039E9">
              <w:rPr>
                <w:rFonts w:eastAsia="Calibri"/>
                <w:i/>
                <w:sz w:val="22"/>
                <w:szCs w:val="22"/>
                <w:u w:val="single"/>
                <w:lang w:eastAsia="en-US"/>
              </w:rPr>
              <w:t>3</w:t>
            </w:r>
          </w:p>
        </w:tc>
        <w:tc>
          <w:tcPr>
            <w:tcW w:w="1118" w:type="dxa"/>
            <w:tcBorders>
              <w:top w:val="single" w:sz="6" w:space="0" w:color="auto"/>
              <w:left w:val="single" w:sz="6" w:space="0" w:color="auto"/>
              <w:bottom w:val="single" w:sz="6" w:space="0" w:color="auto"/>
              <w:right w:val="single" w:sz="6" w:space="0" w:color="auto"/>
            </w:tcBorders>
            <w:vAlign w:val="center"/>
          </w:tcPr>
          <w:p w14:paraId="233C3726" w14:textId="77777777" w:rsidR="009039E9" w:rsidRPr="009039E9" w:rsidRDefault="009039E9" w:rsidP="009039E9">
            <w:pPr>
              <w:spacing w:line="276" w:lineRule="auto"/>
              <w:rPr>
                <w:rFonts w:eastAsia="Calibri"/>
                <w:i/>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vAlign w:val="center"/>
          </w:tcPr>
          <w:p w14:paraId="581C7B7A" w14:textId="77777777" w:rsidR="009039E9" w:rsidRPr="009039E9" w:rsidRDefault="009039E9" w:rsidP="009039E9">
            <w:pPr>
              <w:spacing w:line="276" w:lineRule="auto"/>
              <w:rPr>
                <w:rFonts w:eastAsia="Calibri"/>
                <w:i/>
                <w:sz w:val="22"/>
                <w:szCs w:val="22"/>
                <w:lang w:eastAsia="en-US"/>
              </w:rPr>
            </w:pPr>
            <w:r w:rsidRPr="009039E9">
              <w:rPr>
                <w:rFonts w:eastAsia="Calibri"/>
                <w:color w:val="000000"/>
                <w:sz w:val="22"/>
                <w:szCs w:val="22"/>
                <w:lang w:eastAsia="en-US"/>
              </w:rPr>
              <w:t>Conducteur de Travaux (Résident)</w:t>
            </w:r>
          </w:p>
        </w:tc>
        <w:tc>
          <w:tcPr>
            <w:tcW w:w="1417" w:type="dxa"/>
            <w:tcBorders>
              <w:top w:val="single" w:sz="6" w:space="0" w:color="auto"/>
              <w:left w:val="single" w:sz="6" w:space="0" w:color="auto"/>
              <w:bottom w:val="single" w:sz="6" w:space="0" w:color="auto"/>
              <w:right w:val="single" w:sz="6" w:space="0" w:color="auto"/>
            </w:tcBorders>
            <w:vAlign w:val="center"/>
          </w:tcPr>
          <w:p w14:paraId="57B9ECE2" w14:textId="77777777" w:rsidR="009039E9" w:rsidRPr="009039E9" w:rsidRDefault="009039E9" w:rsidP="009039E9">
            <w:pPr>
              <w:spacing w:line="276" w:lineRule="auto"/>
              <w:rPr>
                <w:rFonts w:eastAsia="Calibri"/>
                <w:color w:val="000000"/>
                <w:sz w:val="22"/>
                <w:szCs w:val="22"/>
                <w:lang w:val="en-US" w:eastAsia="en-US"/>
              </w:rPr>
            </w:pPr>
            <w:r w:rsidRPr="009039E9">
              <w:rPr>
                <w:rFonts w:eastAsia="Calibri"/>
                <w:color w:val="000000"/>
                <w:sz w:val="22"/>
                <w:szCs w:val="22"/>
                <w:lang w:val="en-US" w:eastAsia="en-US"/>
              </w:rPr>
              <w:t xml:space="preserve">10 </w:t>
            </w:r>
            <w:proofErr w:type="spellStart"/>
            <w:r w:rsidRPr="009039E9">
              <w:rPr>
                <w:rFonts w:eastAsia="Calibri"/>
                <w:color w:val="000000"/>
                <w:sz w:val="22"/>
                <w:szCs w:val="22"/>
                <w:lang w:val="en-US" w:eastAsia="en-US"/>
              </w:rPr>
              <w:t>ans</w:t>
            </w:r>
            <w:proofErr w:type="spellEnd"/>
          </w:p>
        </w:tc>
        <w:tc>
          <w:tcPr>
            <w:tcW w:w="2426" w:type="dxa"/>
            <w:tcBorders>
              <w:top w:val="single" w:sz="6" w:space="0" w:color="auto"/>
              <w:left w:val="single" w:sz="6" w:space="0" w:color="auto"/>
              <w:bottom w:val="single" w:sz="6" w:space="0" w:color="auto"/>
              <w:right w:val="single" w:sz="6" w:space="0" w:color="auto"/>
            </w:tcBorders>
            <w:vAlign w:val="center"/>
          </w:tcPr>
          <w:p w14:paraId="12C173B8" w14:textId="77777777" w:rsidR="009039E9" w:rsidRPr="009039E9" w:rsidRDefault="009039E9" w:rsidP="009039E9">
            <w:pPr>
              <w:spacing w:line="276" w:lineRule="auto"/>
              <w:jc w:val="both"/>
              <w:rPr>
                <w:rFonts w:eastAsia="Calibri"/>
                <w:color w:val="000000"/>
                <w:sz w:val="22"/>
                <w:szCs w:val="22"/>
                <w:lang w:eastAsia="en-US"/>
              </w:rPr>
            </w:pPr>
            <w:r w:rsidRPr="009039E9">
              <w:rPr>
                <w:rFonts w:eastAsia="Calibri"/>
                <w:color w:val="000000"/>
                <w:sz w:val="22"/>
                <w:szCs w:val="22"/>
                <w:lang w:eastAsia="en-US"/>
              </w:rPr>
              <w:t>Trois (03) marchés similaires au cours des sept (7) dernières années</w:t>
            </w:r>
          </w:p>
        </w:tc>
        <w:tc>
          <w:tcPr>
            <w:tcW w:w="2535" w:type="dxa"/>
            <w:tcBorders>
              <w:top w:val="single" w:sz="6" w:space="0" w:color="auto"/>
              <w:left w:val="single" w:sz="6" w:space="0" w:color="auto"/>
              <w:bottom w:val="single" w:sz="6" w:space="0" w:color="auto"/>
              <w:right w:val="single" w:sz="6" w:space="0" w:color="auto"/>
            </w:tcBorders>
            <w:vAlign w:val="center"/>
          </w:tcPr>
          <w:p w14:paraId="2281169D" w14:textId="77777777" w:rsidR="009039E9" w:rsidRPr="009039E9" w:rsidRDefault="009039E9" w:rsidP="009039E9">
            <w:pPr>
              <w:spacing w:line="276" w:lineRule="auto"/>
              <w:rPr>
                <w:rFonts w:eastAsia="Calibri"/>
                <w:color w:val="000000"/>
                <w:sz w:val="22"/>
                <w:szCs w:val="22"/>
                <w:lang w:eastAsia="en-US"/>
              </w:rPr>
            </w:pPr>
            <w:r w:rsidRPr="009039E9">
              <w:rPr>
                <w:rFonts w:eastAsia="Calibri"/>
                <w:color w:val="000000"/>
                <w:sz w:val="22"/>
                <w:szCs w:val="22"/>
                <w:lang w:eastAsia="en-US"/>
              </w:rPr>
              <w:t>Diplôme Bac+5 ou tout autre diplôme reconnu équivalent en Electromécanique ou électricité, ou toute autre discipline équivalente</w:t>
            </w:r>
            <w:r w:rsidRPr="009039E9" w:rsidDel="00340A0E">
              <w:rPr>
                <w:rFonts w:eastAsia="Calibri"/>
                <w:color w:val="000000"/>
                <w:sz w:val="22"/>
                <w:szCs w:val="22"/>
                <w:lang w:eastAsia="en-US"/>
              </w:rPr>
              <w:t xml:space="preserve"> </w:t>
            </w:r>
          </w:p>
        </w:tc>
      </w:tr>
      <w:tr w:rsidR="009039E9" w:rsidRPr="009039E9" w14:paraId="140762F9" w14:textId="77777777" w:rsidTr="002D6626">
        <w:trPr>
          <w:trHeight w:val="20"/>
        </w:trPr>
        <w:tc>
          <w:tcPr>
            <w:tcW w:w="568" w:type="dxa"/>
            <w:tcBorders>
              <w:top w:val="single" w:sz="6" w:space="0" w:color="auto"/>
              <w:left w:val="single" w:sz="6" w:space="0" w:color="auto"/>
              <w:bottom w:val="single" w:sz="6" w:space="0" w:color="auto"/>
              <w:right w:val="single" w:sz="6" w:space="0" w:color="auto"/>
            </w:tcBorders>
            <w:vAlign w:val="center"/>
          </w:tcPr>
          <w:p w14:paraId="2846D6B3" w14:textId="77777777" w:rsidR="009039E9" w:rsidRPr="009039E9" w:rsidRDefault="009039E9" w:rsidP="009039E9">
            <w:pPr>
              <w:spacing w:line="276" w:lineRule="auto"/>
              <w:rPr>
                <w:rFonts w:eastAsia="Calibri"/>
                <w:i/>
                <w:sz w:val="22"/>
                <w:szCs w:val="22"/>
                <w:lang w:eastAsia="en-US"/>
              </w:rPr>
            </w:pPr>
            <w:r w:rsidRPr="009039E9">
              <w:rPr>
                <w:rFonts w:eastAsia="Calibri"/>
                <w:i/>
                <w:sz w:val="22"/>
                <w:szCs w:val="22"/>
                <w:lang w:eastAsia="en-US"/>
              </w:rPr>
              <w:t>4</w:t>
            </w:r>
          </w:p>
        </w:tc>
        <w:tc>
          <w:tcPr>
            <w:tcW w:w="1118" w:type="dxa"/>
            <w:tcBorders>
              <w:top w:val="single" w:sz="6" w:space="0" w:color="auto"/>
              <w:left w:val="single" w:sz="6" w:space="0" w:color="auto"/>
              <w:bottom w:val="single" w:sz="6" w:space="0" w:color="auto"/>
              <w:right w:val="single" w:sz="6" w:space="0" w:color="auto"/>
            </w:tcBorders>
            <w:vAlign w:val="center"/>
          </w:tcPr>
          <w:p w14:paraId="40A76758" w14:textId="77777777" w:rsidR="009039E9" w:rsidRPr="009039E9" w:rsidRDefault="009039E9" w:rsidP="009039E9">
            <w:pPr>
              <w:spacing w:line="276" w:lineRule="auto"/>
              <w:rPr>
                <w:rFonts w:eastAsia="Calibri"/>
                <w:i/>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vAlign w:val="center"/>
          </w:tcPr>
          <w:p w14:paraId="71347E65" w14:textId="77777777" w:rsidR="009039E9" w:rsidRPr="009039E9" w:rsidRDefault="009039E9" w:rsidP="009039E9">
            <w:pPr>
              <w:spacing w:line="276" w:lineRule="auto"/>
              <w:rPr>
                <w:rFonts w:eastAsia="Calibri"/>
                <w:i/>
                <w:sz w:val="22"/>
                <w:szCs w:val="22"/>
                <w:lang w:eastAsia="en-US"/>
              </w:rPr>
            </w:pPr>
            <w:r w:rsidRPr="009039E9">
              <w:rPr>
                <w:rFonts w:eastAsia="Calibri"/>
                <w:color w:val="000000"/>
                <w:sz w:val="22"/>
                <w:szCs w:val="22"/>
                <w:lang w:val="en-US" w:eastAsia="en-US"/>
              </w:rPr>
              <w:t xml:space="preserve">Chef de </w:t>
            </w:r>
            <w:proofErr w:type="spellStart"/>
            <w:r w:rsidRPr="009039E9">
              <w:rPr>
                <w:rFonts w:eastAsia="Calibri"/>
                <w:color w:val="000000"/>
                <w:sz w:val="22"/>
                <w:szCs w:val="22"/>
                <w:lang w:val="en-US" w:eastAsia="en-US"/>
              </w:rPr>
              <w:t>Chantier</w:t>
            </w:r>
            <w:proofErr w:type="spellEnd"/>
            <w:r w:rsidRPr="009039E9">
              <w:rPr>
                <w:rFonts w:eastAsia="Calibri"/>
                <w:color w:val="000000"/>
                <w:sz w:val="22"/>
                <w:szCs w:val="22"/>
                <w:lang w:val="en-US" w:eastAsia="en-US"/>
              </w:rPr>
              <w:t xml:space="preserve"> (</w:t>
            </w:r>
            <w:proofErr w:type="spellStart"/>
            <w:r w:rsidRPr="009039E9">
              <w:rPr>
                <w:rFonts w:eastAsia="Calibri"/>
                <w:color w:val="000000"/>
                <w:sz w:val="22"/>
                <w:szCs w:val="22"/>
                <w:lang w:val="en-US" w:eastAsia="en-US"/>
              </w:rPr>
              <w:t>Résident</w:t>
            </w:r>
            <w:proofErr w:type="spellEnd"/>
            <w:r w:rsidRPr="009039E9">
              <w:rPr>
                <w:rFonts w:eastAsia="Calibri"/>
                <w:color w:val="000000"/>
                <w:sz w:val="22"/>
                <w:szCs w:val="22"/>
                <w:lang w:val="en-US" w:eastAsia="en-US"/>
              </w:rPr>
              <w:t>)</w:t>
            </w:r>
          </w:p>
        </w:tc>
        <w:tc>
          <w:tcPr>
            <w:tcW w:w="1417" w:type="dxa"/>
            <w:tcBorders>
              <w:top w:val="single" w:sz="6" w:space="0" w:color="auto"/>
              <w:left w:val="single" w:sz="6" w:space="0" w:color="auto"/>
              <w:bottom w:val="single" w:sz="6" w:space="0" w:color="auto"/>
              <w:right w:val="single" w:sz="6" w:space="0" w:color="auto"/>
            </w:tcBorders>
            <w:vAlign w:val="center"/>
          </w:tcPr>
          <w:p w14:paraId="05E1EA52" w14:textId="77777777" w:rsidR="009039E9" w:rsidRPr="009039E9" w:rsidRDefault="009039E9" w:rsidP="009039E9">
            <w:pPr>
              <w:spacing w:line="276" w:lineRule="auto"/>
              <w:rPr>
                <w:rFonts w:eastAsia="Calibri"/>
                <w:color w:val="000000"/>
                <w:sz w:val="22"/>
                <w:szCs w:val="22"/>
                <w:lang w:eastAsia="en-US"/>
              </w:rPr>
            </w:pPr>
            <w:r w:rsidRPr="009039E9">
              <w:rPr>
                <w:rFonts w:eastAsia="Calibri"/>
                <w:color w:val="000000"/>
                <w:sz w:val="22"/>
                <w:szCs w:val="22"/>
                <w:lang w:eastAsia="en-US"/>
              </w:rPr>
              <w:t>10 ans ou à défaut 15 (si Bac+2)</w:t>
            </w:r>
          </w:p>
        </w:tc>
        <w:tc>
          <w:tcPr>
            <w:tcW w:w="2426" w:type="dxa"/>
            <w:tcBorders>
              <w:top w:val="single" w:sz="6" w:space="0" w:color="auto"/>
              <w:left w:val="single" w:sz="6" w:space="0" w:color="auto"/>
              <w:bottom w:val="single" w:sz="6" w:space="0" w:color="auto"/>
              <w:right w:val="single" w:sz="6" w:space="0" w:color="auto"/>
            </w:tcBorders>
            <w:vAlign w:val="center"/>
          </w:tcPr>
          <w:p w14:paraId="46E7088E" w14:textId="77777777" w:rsidR="009039E9" w:rsidRPr="009039E9" w:rsidRDefault="009039E9" w:rsidP="009039E9">
            <w:pPr>
              <w:spacing w:line="276" w:lineRule="auto"/>
              <w:jc w:val="both"/>
              <w:rPr>
                <w:rFonts w:eastAsia="Calibri"/>
                <w:color w:val="000000"/>
                <w:sz w:val="22"/>
                <w:szCs w:val="22"/>
                <w:lang w:eastAsia="en-US"/>
              </w:rPr>
            </w:pPr>
            <w:r w:rsidRPr="009039E9">
              <w:rPr>
                <w:rFonts w:eastAsia="Calibri"/>
                <w:color w:val="000000"/>
                <w:sz w:val="22"/>
                <w:szCs w:val="22"/>
                <w:lang w:eastAsia="en-US"/>
              </w:rPr>
              <w:t>Trois (03) marchés similaires au cours des sept (7) dernières années</w:t>
            </w:r>
          </w:p>
        </w:tc>
        <w:tc>
          <w:tcPr>
            <w:tcW w:w="2535" w:type="dxa"/>
            <w:tcBorders>
              <w:top w:val="single" w:sz="6" w:space="0" w:color="auto"/>
              <w:left w:val="single" w:sz="6" w:space="0" w:color="auto"/>
              <w:bottom w:val="single" w:sz="6" w:space="0" w:color="auto"/>
              <w:right w:val="single" w:sz="6" w:space="0" w:color="auto"/>
            </w:tcBorders>
            <w:vAlign w:val="center"/>
          </w:tcPr>
          <w:p w14:paraId="28401557" w14:textId="77777777" w:rsidR="009039E9" w:rsidRPr="009039E9" w:rsidRDefault="009039E9" w:rsidP="009039E9">
            <w:pPr>
              <w:spacing w:line="276" w:lineRule="auto"/>
              <w:rPr>
                <w:rFonts w:eastAsia="Calibri"/>
                <w:color w:val="000000"/>
                <w:sz w:val="22"/>
                <w:szCs w:val="22"/>
                <w:lang w:eastAsia="en-US"/>
              </w:rPr>
            </w:pPr>
            <w:r w:rsidRPr="009039E9">
              <w:rPr>
                <w:rFonts w:eastAsia="Calibri"/>
                <w:color w:val="000000"/>
                <w:sz w:val="22"/>
                <w:szCs w:val="22"/>
                <w:lang w:eastAsia="en-US"/>
              </w:rPr>
              <w:t>Diplôme Bac+5 ou tout autre diplôme reconnu équivalent en Electromécanique ou électricité ou toutes disciplines similaires</w:t>
            </w:r>
          </w:p>
          <w:p w14:paraId="3D7F77B5" w14:textId="77777777" w:rsidR="009039E9" w:rsidRPr="009039E9" w:rsidRDefault="009039E9" w:rsidP="009039E9">
            <w:pPr>
              <w:spacing w:line="276" w:lineRule="auto"/>
              <w:rPr>
                <w:rFonts w:eastAsia="Calibri"/>
                <w:color w:val="000000"/>
                <w:sz w:val="22"/>
                <w:szCs w:val="22"/>
                <w:lang w:eastAsia="en-US"/>
              </w:rPr>
            </w:pPr>
            <w:proofErr w:type="gramStart"/>
            <w:r w:rsidRPr="009039E9">
              <w:rPr>
                <w:rFonts w:eastAsia="Calibri"/>
                <w:color w:val="000000"/>
                <w:sz w:val="22"/>
                <w:szCs w:val="22"/>
                <w:lang w:eastAsia="en-US"/>
              </w:rPr>
              <w:t>ou</w:t>
            </w:r>
            <w:proofErr w:type="gramEnd"/>
          </w:p>
          <w:p w14:paraId="5E203112" w14:textId="77777777" w:rsidR="009039E9" w:rsidRPr="009039E9" w:rsidRDefault="009039E9" w:rsidP="009039E9">
            <w:pPr>
              <w:spacing w:line="276" w:lineRule="auto"/>
              <w:rPr>
                <w:rFonts w:eastAsia="Calibri"/>
                <w:color w:val="000000"/>
                <w:sz w:val="22"/>
                <w:szCs w:val="22"/>
                <w:lang w:eastAsia="en-US"/>
              </w:rPr>
            </w:pPr>
            <w:r w:rsidRPr="009039E9">
              <w:rPr>
                <w:rFonts w:eastAsia="Calibri"/>
                <w:color w:val="000000"/>
                <w:sz w:val="22"/>
                <w:szCs w:val="22"/>
                <w:lang w:eastAsia="en-US"/>
              </w:rPr>
              <w:t>Bac +2 avec 15 années d’expériences équivalentes et 5 expériences dans des travaux similaires.</w:t>
            </w:r>
          </w:p>
        </w:tc>
      </w:tr>
      <w:tr w:rsidR="009039E9" w:rsidRPr="009039E9" w14:paraId="0B16BEE5" w14:textId="77777777" w:rsidTr="002D6626">
        <w:trPr>
          <w:trHeight w:val="20"/>
        </w:trPr>
        <w:tc>
          <w:tcPr>
            <w:tcW w:w="568" w:type="dxa"/>
            <w:tcBorders>
              <w:top w:val="single" w:sz="6" w:space="0" w:color="auto"/>
              <w:left w:val="single" w:sz="6" w:space="0" w:color="auto"/>
              <w:bottom w:val="single" w:sz="6" w:space="0" w:color="auto"/>
              <w:right w:val="single" w:sz="6" w:space="0" w:color="auto"/>
            </w:tcBorders>
            <w:vAlign w:val="center"/>
          </w:tcPr>
          <w:p w14:paraId="7A6C9F5A" w14:textId="77777777" w:rsidR="009039E9" w:rsidRPr="009039E9" w:rsidRDefault="009039E9" w:rsidP="009039E9">
            <w:pPr>
              <w:spacing w:line="276" w:lineRule="auto"/>
              <w:rPr>
                <w:rFonts w:eastAsia="Calibri"/>
                <w:i/>
                <w:sz w:val="22"/>
                <w:szCs w:val="22"/>
                <w:u w:val="single"/>
                <w:lang w:eastAsia="en-US"/>
              </w:rPr>
            </w:pPr>
            <w:r w:rsidRPr="009039E9">
              <w:rPr>
                <w:rFonts w:eastAsia="Calibri"/>
                <w:i/>
                <w:sz w:val="22"/>
                <w:szCs w:val="22"/>
                <w:u w:val="single"/>
                <w:lang w:eastAsia="en-US"/>
              </w:rPr>
              <w:t>5</w:t>
            </w:r>
          </w:p>
        </w:tc>
        <w:tc>
          <w:tcPr>
            <w:tcW w:w="1118" w:type="dxa"/>
            <w:tcBorders>
              <w:top w:val="single" w:sz="6" w:space="0" w:color="auto"/>
              <w:left w:val="single" w:sz="6" w:space="0" w:color="auto"/>
              <w:bottom w:val="single" w:sz="6" w:space="0" w:color="auto"/>
              <w:right w:val="single" w:sz="6" w:space="0" w:color="auto"/>
            </w:tcBorders>
            <w:vAlign w:val="center"/>
          </w:tcPr>
          <w:p w14:paraId="342A490A" w14:textId="77777777" w:rsidR="009039E9" w:rsidRPr="009039E9" w:rsidRDefault="009039E9" w:rsidP="009039E9">
            <w:pPr>
              <w:spacing w:line="276" w:lineRule="auto"/>
              <w:rPr>
                <w:rFonts w:eastAsia="Calibri"/>
                <w:i/>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vAlign w:val="center"/>
          </w:tcPr>
          <w:p w14:paraId="5540DC86" w14:textId="77777777" w:rsidR="009039E9" w:rsidRPr="009039E9" w:rsidRDefault="009039E9" w:rsidP="009039E9">
            <w:pPr>
              <w:spacing w:line="276" w:lineRule="auto"/>
              <w:rPr>
                <w:rFonts w:eastAsia="Calibri"/>
                <w:i/>
                <w:sz w:val="22"/>
                <w:szCs w:val="22"/>
                <w:lang w:eastAsia="en-US"/>
              </w:rPr>
            </w:pPr>
            <w:r w:rsidRPr="009039E9">
              <w:rPr>
                <w:rFonts w:eastAsia="Calibri"/>
                <w:color w:val="000000"/>
                <w:sz w:val="22"/>
                <w:szCs w:val="22"/>
                <w:lang w:eastAsia="en-US"/>
              </w:rPr>
              <w:t>Superviseur de Travaux Génie Civil (Résident)</w:t>
            </w:r>
          </w:p>
        </w:tc>
        <w:tc>
          <w:tcPr>
            <w:tcW w:w="1417" w:type="dxa"/>
            <w:tcBorders>
              <w:top w:val="single" w:sz="6" w:space="0" w:color="auto"/>
              <w:left w:val="single" w:sz="6" w:space="0" w:color="auto"/>
              <w:bottom w:val="single" w:sz="6" w:space="0" w:color="auto"/>
              <w:right w:val="single" w:sz="6" w:space="0" w:color="auto"/>
            </w:tcBorders>
            <w:vAlign w:val="center"/>
          </w:tcPr>
          <w:p w14:paraId="3458DCFE" w14:textId="77777777" w:rsidR="009039E9" w:rsidRPr="009039E9" w:rsidRDefault="009039E9" w:rsidP="009039E9">
            <w:pPr>
              <w:spacing w:line="276" w:lineRule="auto"/>
              <w:rPr>
                <w:rFonts w:eastAsia="Calibri"/>
                <w:color w:val="000000"/>
                <w:sz w:val="22"/>
                <w:szCs w:val="22"/>
                <w:lang w:val="en-US" w:eastAsia="en-US"/>
              </w:rPr>
            </w:pPr>
            <w:r w:rsidRPr="009039E9">
              <w:rPr>
                <w:rFonts w:eastAsia="Calibri"/>
                <w:color w:val="000000"/>
                <w:sz w:val="22"/>
                <w:szCs w:val="22"/>
                <w:lang w:val="en-US" w:eastAsia="en-US"/>
              </w:rPr>
              <w:t xml:space="preserve">8 </w:t>
            </w:r>
            <w:proofErr w:type="spellStart"/>
            <w:r w:rsidRPr="009039E9">
              <w:rPr>
                <w:rFonts w:eastAsia="Calibri"/>
                <w:color w:val="000000"/>
                <w:sz w:val="22"/>
                <w:szCs w:val="22"/>
                <w:lang w:val="en-US" w:eastAsia="en-US"/>
              </w:rPr>
              <w:t>ans</w:t>
            </w:r>
            <w:proofErr w:type="spellEnd"/>
          </w:p>
        </w:tc>
        <w:tc>
          <w:tcPr>
            <w:tcW w:w="2426" w:type="dxa"/>
            <w:tcBorders>
              <w:top w:val="single" w:sz="6" w:space="0" w:color="auto"/>
              <w:left w:val="single" w:sz="6" w:space="0" w:color="auto"/>
              <w:bottom w:val="single" w:sz="6" w:space="0" w:color="auto"/>
              <w:right w:val="single" w:sz="6" w:space="0" w:color="auto"/>
            </w:tcBorders>
            <w:vAlign w:val="center"/>
          </w:tcPr>
          <w:p w14:paraId="5022CDB8" w14:textId="77777777" w:rsidR="009039E9" w:rsidRPr="009039E9" w:rsidRDefault="009039E9" w:rsidP="009039E9">
            <w:pPr>
              <w:spacing w:line="276" w:lineRule="auto"/>
              <w:jc w:val="both"/>
              <w:rPr>
                <w:rFonts w:eastAsia="Calibri"/>
                <w:color w:val="000000"/>
                <w:sz w:val="22"/>
                <w:szCs w:val="22"/>
                <w:lang w:eastAsia="en-US"/>
              </w:rPr>
            </w:pPr>
            <w:r w:rsidRPr="009039E9">
              <w:rPr>
                <w:rFonts w:eastAsia="Calibri"/>
                <w:color w:val="000000"/>
                <w:sz w:val="22"/>
                <w:szCs w:val="22"/>
                <w:lang w:eastAsia="en-US"/>
              </w:rPr>
              <w:t>Deux (02) marchés similaires au cours des cinq (5) dernières années</w:t>
            </w:r>
          </w:p>
        </w:tc>
        <w:tc>
          <w:tcPr>
            <w:tcW w:w="2535" w:type="dxa"/>
            <w:tcBorders>
              <w:top w:val="single" w:sz="6" w:space="0" w:color="auto"/>
              <w:left w:val="single" w:sz="6" w:space="0" w:color="auto"/>
              <w:bottom w:val="single" w:sz="6" w:space="0" w:color="auto"/>
              <w:right w:val="single" w:sz="6" w:space="0" w:color="auto"/>
            </w:tcBorders>
            <w:vAlign w:val="center"/>
          </w:tcPr>
          <w:p w14:paraId="623AF6B1" w14:textId="77777777" w:rsidR="009039E9" w:rsidRPr="009039E9" w:rsidRDefault="009039E9" w:rsidP="009039E9">
            <w:pPr>
              <w:spacing w:line="276" w:lineRule="auto"/>
              <w:rPr>
                <w:rFonts w:eastAsia="Calibri"/>
                <w:color w:val="000000"/>
                <w:sz w:val="22"/>
                <w:szCs w:val="22"/>
                <w:lang w:eastAsia="en-US"/>
              </w:rPr>
            </w:pPr>
            <w:r w:rsidRPr="009039E9">
              <w:rPr>
                <w:rFonts w:eastAsia="Calibri"/>
                <w:color w:val="000000"/>
                <w:sz w:val="22"/>
                <w:szCs w:val="22"/>
                <w:lang w:eastAsia="en-US"/>
              </w:rPr>
              <w:t>Diplôme BTS ou Bac+2 ou tout autre diplôme reconnu équivalent en génie- Civil ou toutes disciplines similaires.</w:t>
            </w:r>
          </w:p>
        </w:tc>
      </w:tr>
      <w:tr w:rsidR="009039E9" w:rsidRPr="009039E9" w14:paraId="009BD1D8" w14:textId="77777777" w:rsidTr="002D6626">
        <w:trPr>
          <w:trHeight w:val="20"/>
        </w:trPr>
        <w:tc>
          <w:tcPr>
            <w:tcW w:w="568" w:type="dxa"/>
            <w:tcBorders>
              <w:top w:val="single" w:sz="6" w:space="0" w:color="auto"/>
              <w:left w:val="single" w:sz="6" w:space="0" w:color="auto"/>
              <w:bottom w:val="single" w:sz="6" w:space="0" w:color="auto"/>
              <w:right w:val="single" w:sz="6" w:space="0" w:color="auto"/>
            </w:tcBorders>
            <w:vAlign w:val="center"/>
          </w:tcPr>
          <w:p w14:paraId="02A5FB76" w14:textId="77777777" w:rsidR="009039E9" w:rsidRPr="009039E9" w:rsidRDefault="009039E9" w:rsidP="009039E9">
            <w:pPr>
              <w:spacing w:line="276" w:lineRule="auto"/>
              <w:rPr>
                <w:rFonts w:eastAsia="Calibri"/>
                <w:i/>
                <w:sz w:val="22"/>
                <w:szCs w:val="22"/>
                <w:lang w:eastAsia="en-US"/>
              </w:rPr>
            </w:pPr>
            <w:r w:rsidRPr="009039E9">
              <w:rPr>
                <w:rFonts w:eastAsia="Calibri"/>
                <w:i/>
                <w:sz w:val="22"/>
                <w:szCs w:val="22"/>
                <w:lang w:eastAsia="en-US"/>
              </w:rPr>
              <w:t>6</w:t>
            </w:r>
          </w:p>
        </w:tc>
        <w:tc>
          <w:tcPr>
            <w:tcW w:w="1118" w:type="dxa"/>
            <w:tcBorders>
              <w:top w:val="single" w:sz="6" w:space="0" w:color="auto"/>
              <w:left w:val="single" w:sz="6" w:space="0" w:color="auto"/>
              <w:bottom w:val="single" w:sz="6" w:space="0" w:color="auto"/>
              <w:right w:val="single" w:sz="6" w:space="0" w:color="auto"/>
            </w:tcBorders>
            <w:vAlign w:val="center"/>
          </w:tcPr>
          <w:p w14:paraId="34AC8E0C" w14:textId="77777777" w:rsidR="009039E9" w:rsidRPr="009039E9" w:rsidRDefault="009039E9" w:rsidP="009039E9">
            <w:pPr>
              <w:spacing w:line="276" w:lineRule="auto"/>
              <w:rPr>
                <w:rFonts w:eastAsia="Calibri"/>
                <w:i/>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vAlign w:val="center"/>
          </w:tcPr>
          <w:p w14:paraId="5AD23455" w14:textId="77777777" w:rsidR="009039E9" w:rsidRPr="009039E9" w:rsidRDefault="009039E9" w:rsidP="009039E9">
            <w:pPr>
              <w:spacing w:line="276" w:lineRule="auto"/>
              <w:rPr>
                <w:rFonts w:eastAsia="Calibri"/>
                <w:i/>
                <w:sz w:val="22"/>
                <w:szCs w:val="22"/>
                <w:lang w:eastAsia="en-US"/>
              </w:rPr>
            </w:pPr>
            <w:proofErr w:type="spellStart"/>
            <w:r w:rsidRPr="009039E9">
              <w:rPr>
                <w:rFonts w:eastAsia="Calibri"/>
                <w:color w:val="000000"/>
                <w:sz w:val="22"/>
                <w:szCs w:val="22"/>
                <w:lang w:val="en-US" w:eastAsia="en-US"/>
              </w:rPr>
              <w:t>Superviseur</w:t>
            </w:r>
            <w:proofErr w:type="spellEnd"/>
            <w:r w:rsidRPr="009039E9">
              <w:rPr>
                <w:rFonts w:eastAsia="Calibri"/>
                <w:color w:val="000000"/>
                <w:sz w:val="22"/>
                <w:szCs w:val="22"/>
                <w:lang w:val="en-US" w:eastAsia="en-US"/>
              </w:rPr>
              <w:t xml:space="preserve"> </w:t>
            </w:r>
            <w:proofErr w:type="spellStart"/>
            <w:r w:rsidRPr="009039E9">
              <w:rPr>
                <w:rFonts w:eastAsia="Calibri"/>
                <w:color w:val="000000"/>
                <w:sz w:val="22"/>
                <w:szCs w:val="22"/>
                <w:lang w:val="en-US" w:eastAsia="en-US"/>
              </w:rPr>
              <w:t>Equipements</w:t>
            </w:r>
            <w:proofErr w:type="spellEnd"/>
            <w:r w:rsidRPr="009039E9">
              <w:rPr>
                <w:rFonts w:eastAsia="Calibri"/>
                <w:color w:val="000000"/>
                <w:sz w:val="22"/>
                <w:szCs w:val="22"/>
                <w:lang w:val="en-US" w:eastAsia="en-US"/>
              </w:rPr>
              <w:t xml:space="preserve"> Distribution (</w:t>
            </w:r>
            <w:proofErr w:type="spellStart"/>
            <w:r w:rsidRPr="009039E9">
              <w:rPr>
                <w:rFonts w:eastAsia="Calibri"/>
                <w:color w:val="000000"/>
                <w:sz w:val="22"/>
                <w:szCs w:val="22"/>
                <w:lang w:val="en-US" w:eastAsia="en-US"/>
              </w:rPr>
              <w:t>Résident</w:t>
            </w:r>
            <w:proofErr w:type="spellEnd"/>
            <w:r w:rsidRPr="009039E9">
              <w:rPr>
                <w:rFonts w:eastAsia="Calibri"/>
                <w:color w:val="000000"/>
                <w:sz w:val="22"/>
                <w:szCs w:val="22"/>
                <w:lang w:val="en-US" w:eastAsia="en-US"/>
              </w:rPr>
              <w:t>)</w:t>
            </w:r>
          </w:p>
        </w:tc>
        <w:tc>
          <w:tcPr>
            <w:tcW w:w="1417" w:type="dxa"/>
            <w:tcBorders>
              <w:top w:val="single" w:sz="6" w:space="0" w:color="auto"/>
              <w:left w:val="single" w:sz="6" w:space="0" w:color="auto"/>
              <w:bottom w:val="single" w:sz="6" w:space="0" w:color="auto"/>
              <w:right w:val="single" w:sz="6" w:space="0" w:color="auto"/>
            </w:tcBorders>
            <w:vAlign w:val="center"/>
          </w:tcPr>
          <w:p w14:paraId="4D2E86C8" w14:textId="77777777" w:rsidR="009039E9" w:rsidRPr="009039E9" w:rsidRDefault="009039E9" w:rsidP="009039E9">
            <w:pPr>
              <w:spacing w:line="276" w:lineRule="auto"/>
              <w:rPr>
                <w:rFonts w:eastAsia="Calibri"/>
                <w:color w:val="000000"/>
                <w:sz w:val="22"/>
                <w:szCs w:val="22"/>
                <w:lang w:val="en-US" w:eastAsia="en-US"/>
              </w:rPr>
            </w:pPr>
            <w:r w:rsidRPr="009039E9">
              <w:rPr>
                <w:rFonts w:eastAsia="Calibri"/>
                <w:color w:val="000000"/>
                <w:sz w:val="22"/>
                <w:szCs w:val="22"/>
                <w:lang w:val="en-US" w:eastAsia="en-US"/>
              </w:rPr>
              <w:t xml:space="preserve">8 </w:t>
            </w:r>
            <w:proofErr w:type="spellStart"/>
            <w:r w:rsidRPr="009039E9">
              <w:rPr>
                <w:rFonts w:eastAsia="Calibri"/>
                <w:color w:val="000000"/>
                <w:sz w:val="22"/>
                <w:szCs w:val="22"/>
                <w:lang w:val="en-US" w:eastAsia="en-US"/>
              </w:rPr>
              <w:t>ans</w:t>
            </w:r>
            <w:proofErr w:type="spellEnd"/>
          </w:p>
        </w:tc>
        <w:tc>
          <w:tcPr>
            <w:tcW w:w="2426" w:type="dxa"/>
            <w:tcBorders>
              <w:top w:val="single" w:sz="6" w:space="0" w:color="auto"/>
              <w:left w:val="single" w:sz="6" w:space="0" w:color="auto"/>
              <w:bottom w:val="single" w:sz="6" w:space="0" w:color="auto"/>
              <w:right w:val="single" w:sz="6" w:space="0" w:color="auto"/>
            </w:tcBorders>
            <w:vAlign w:val="center"/>
          </w:tcPr>
          <w:p w14:paraId="0CF581B3" w14:textId="77777777" w:rsidR="009039E9" w:rsidRPr="009039E9" w:rsidRDefault="009039E9" w:rsidP="009039E9">
            <w:pPr>
              <w:spacing w:line="276" w:lineRule="auto"/>
              <w:rPr>
                <w:rFonts w:eastAsia="Calibri"/>
                <w:color w:val="000000"/>
                <w:sz w:val="22"/>
                <w:szCs w:val="22"/>
                <w:lang w:eastAsia="en-US"/>
              </w:rPr>
            </w:pPr>
            <w:r w:rsidRPr="009039E9">
              <w:rPr>
                <w:rFonts w:eastAsia="Calibri"/>
                <w:color w:val="000000"/>
                <w:sz w:val="22"/>
                <w:szCs w:val="22"/>
                <w:lang w:eastAsia="en-US"/>
              </w:rPr>
              <w:t>Deux (02) marchés similaires au cours des cinq (5) dernières années</w:t>
            </w:r>
          </w:p>
        </w:tc>
        <w:tc>
          <w:tcPr>
            <w:tcW w:w="2535" w:type="dxa"/>
            <w:tcBorders>
              <w:top w:val="single" w:sz="6" w:space="0" w:color="auto"/>
              <w:left w:val="single" w:sz="6" w:space="0" w:color="auto"/>
              <w:bottom w:val="single" w:sz="6" w:space="0" w:color="auto"/>
              <w:right w:val="single" w:sz="6" w:space="0" w:color="auto"/>
            </w:tcBorders>
            <w:vAlign w:val="center"/>
          </w:tcPr>
          <w:p w14:paraId="417D57BD" w14:textId="77777777" w:rsidR="009039E9" w:rsidRPr="009039E9" w:rsidRDefault="009039E9" w:rsidP="009039E9">
            <w:pPr>
              <w:spacing w:line="276" w:lineRule="auto"/>
              <w:rPr>
                <w:rFonts w:eastAsia="Calibri"/>
                <w:color w:val="000000"/>
                <w:sz w:val="22"/>
                <w:szCs w:val="22"/>
                <w:lang w:eastAsia="en-US"/>
              </w:rPr>
            </w:pPr>
            <w:r w:rsidRPr="009039E9">
              <w:rPr>
                <w:rFonts w:eastAsia="Calibri"/>
                <w:color w:val="000000"/>
                <w:sz w:val="22"/>
                <w:szCs w:val="22"/>
                <w:lang w:eastAsia="en-US"/>
              </w:rPr>
              <w:t xml:space="preserve">Diplôme BTS ou Bac+2 ou tout autre diplôme reconnu équivalent en Electromécanique ou électricité ou toute autre discipline équivalente, </w:t>
            </w:r>
          </w:p>
        </w:tc>
      </w:tr>
      <w:tr w:rsidR="009039E9" w:rsidRPr="009039E9" w14:paraId="331DA87D" w14:textId="77777777" w:rsidTr="002D6626">
        <w:trPr>
          <w:trHeight w:val="20"/>
        </w:trPr>
        <w:tc>
          <w:tcPr>
            <w:tcW w:w="568" w:type="dxa"/>
            <w:tcBorders>
              <w:top w:val="single" w:sz="6" w:space="0" w:color="auto"/>
              <w:left w:val="single" w:sz="6" w:space="0" w:color="auto"/>
              <w:bottom w:val="single" w:sz="6" w:space="0" w:color="auto"/>
              <w:right w:val="single" w:sz="6" w:space="0" w:color="auto"/>
            </w:tcBorders>
            <w:vAlign w:val="center"/>
          </w:tcPr>
          <w:p w14:paraId="74CDF952" w14:textId="77777777" w:rsidR="009039E9" w:rsidRPr="009039E9" w:rsidRDefault="009039E9" w:rsidP="009039E9">
            <w:pPr>
              <w:spacing w:line="276" w:lineRule="auto"/>
              <w:rPr>
                <w:rFonts w:eastAsia="Calibri"/>
                <w:i/>
                <w:sz w:val="22"/>
                <w:szCs w:val="22"/>
                <w:lang w:eastAsia="en-US"/>
              </w:rPr>
            </w:pPr>
            <w:r w:rsidRPr="009039E9">
              <w:rPr>
                <w:rFonts w:eastAsia="Calibri"/>
                <w:i/>
                <w:sz w:val="22"/>
                <w:szCs w:val="22"/>
                <w:lang w:eastAsia="en-US"/>
              </w:rPr>
              <w:t>7</w:t>
            </w:r>
          </w:p>
        </w:tc>
        <w:tc>
          <w:tcPr>
            <w:tcW w:w="1118" w:type="dxa"/>
            <w:tcBorders>
              <w:top w:val="single" w:sz="6" w:space="0" w:color="auto"/>
              <w:left w:val="single" w:sz="6" w:space="0" w:color="auto"/>
              <w:bottom w:val="single" w:sz="6" w:space="0" w:color="auto"/>
              <w:right w:val="single" w:sz="6" w:space="0" w:color="auto"/>
            </w:tcBorders>
            <w:vAlign w:val="center"/>
          </w:tcPr>
          <w:p w14:paraId="1CE2C54A" w14:textId="77777777" w:rsidR="009039E9" w:rsidRPr="009039E9" w:rsidRDefault="009039E9" w:rsidP="009039E9">
            <w:pPr>
              <w:spacing w:line="276" w:lineRule="auto"/>
              <w:rPr>
                <w:rFonts w:eastAsia="Calibri"/>
                <w:i/>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vAlign w:val="center"/>
          </w:tcPr>
          <w:p w14:paraId="42B768B2" w14:textId="77777777" w:rsidR="009039E9" w:rsidRPr="009039E9" w:rsidRDefault="009039E9" w:rsidP="009039E9">
            <w:pPr>
              <w:spacing w:line="276" w:lineRule="auto"/>
              <w:rPr>
                <w:rFonts w:eastAsia="Calibri"/>
                <w:i/>
                <w:sz w:val="22"/>
                <w:szCs w:val="22"/>
                <w:lang w:eastAsia="en-US"/>
              </w:rPr>
            </w:pPr>
            <w:r w:rsidRPr="009039E9">
              <w:rPr>
                <w:rFonts w:eastAsia="Calibri"/>
                <w:color w:val="000000"/>
                <w:sz w:val="22"/>
                <w:szCs w:val="22"/>
                <w:lang w:eastAsia="en-US"/>
              </w:rPr>
              <w:t>Responsable HSSE (Hygiène, Santé, Sécurité, Environnement) (Résident)</w:t>
            </w:r>
          </w:p>
        </w:tc>
        <w:tc>
          <w:tcPr>
            <w:tcW w:w="1417" w:type="dxa"/>
            <w:tcBorders>
              <w:top w:val="single" w:sz="6" w:space="0" w:color="auto"/>
              <w:left w:val="single" w:sz="6" w:space="0" w:color="auto"/>
              <w:bottom w:val="single" w:sz="6" w:space="0" w:color="auto"/>
              <w:right w:val="single" w:sz="6" w:space="0" w:color="auto"/>
            </w:tcBorders>
            <w:vAlign w:val="center"/>
          </w:tcPr>
          <w:p w14:paraId="11385314" w14:textId="77777777" w:rsidR="009039E9" w:rsidRPr="009039E9" w:rsidRDefault="009039E9" w:rsidP="009039E9">
            <w:pPr>
              <w:spacing w:line="276" w:lineRule="auto"/>
              <w:rPr>
                <w:rFonts w:eastAsia="Calibri"/>
                <w:color w:val="000000"/>
                <w:sz w:val="22"/>
                <w:szCs w:val="22"/>
                <w:lang w:val="en-US" w:eastAsia="en-US"/>
              </w:rPr>
            </w:pPr>
            <w:r w:rsidRPr="009039E9">
              <w:rPr>
                <w:rFonts w:eastAsia="Calibri"/>
                <w:color w:val="000000"/>
                <w:sz w:val="22"/>
                <w:szCs w:val="22"/>
                <w:lang w:val="en-US" w:eastAsia="en-US"/>
              </w:rPr>
              <w:t xml:space="preserve">10 </w:t>
            </w:r>
            <w:proofErr w:type="spellStart"/>
            <w:r w:rsidRPr="009039E9">
              <w:rPr>
                <w:rFonts w:eastAsia="Calibri"/>
                <w:color w:val="000000"/>
                <w:sz w:val="22"/>
                <w:szCs w:val="22"/>
                <w:lang w:val="en-US" w:eastAsia="en-US"/>
              </w:rPr>
              <w:t>ans</w:t>
            </w:r>
            <w:proofErr w:type="spellEnd"/>
          </w:p>
        </w:tc>
        <w:tc>
          <w:tcPr>
            <w:tcW w:w="2426" w:type="dxa"/>
            <w:tcBorders>
              <w:top w:val="single" w:sz="6" w:space="0" w:color="auto"/>
              <w:left w:val="single" w:sz="6" w:space="0" w:color="auto"/>
              <w:bottom w:val="single" w:sz="6" w:space="0" w:color="auto"/>
              <w:right w:val="single" w:sz="6" w:space="0" w:color="auto"/>
            </w:tcBorders>
            <w:vAlign w:val="center"/>
          </w:tcPr>
          <w:p w14:paraId="38D7D4A6" w14:textId="77777777" w:rsidR="009039E9" w:rsidRPr="009039E9" w:rsidRDefault="009039E9" w:rsidP="009039E9">
            <w:pPr>
              <w:spacing w:line="276" w:lineRule="auto"/>
              <w:jc w:val="both"/>
              <w:rPr>
                <w:rFonts w:eastAsia="Calibri"/>
                <w:color w:val="000000"/>
                <w:sz w:val="22"/>
                <w:szCs w:val="22"/>
                <w:lang w:eastAsia="en-US"/>
              </w:rPr>
            </w:pPr>
            <w:r w:rsidRPr="009039E9">
              <w:rPr>
                <w:rFonts w:eastAsia="Calibri"/>
                <w:color w:val="000000"/>
                <w:sz w:val="22"/>
                <w:szCs w:val="22"/>
                <w:lang w:eastAsia="en-US"/>
              </w:rPr>
              <w:t>Trois (03) marchés similaires au cours des sept (7) dernières années</w:t>
            </w:r>
          </w:p>
        </w:tc>
        <w:tc>
          <w:tcPr>
            <w:tcW w:w="2535" w:type="dxa"/>
            <w:tcBorders>
              <w:top w:val="single" w:sz="6" w:space="0" w:color="auto"/>
              <w:left w:val="single" w:sz="6" w:space="0" w:color="auto"/>
              <w:bottom w:val="single" w:sz="6" w:space="0" w:color="auto"/>
              <w:right w:val="single" w:sz="6" w:space="0" w:color="auto"/>
            </w:tcBorders>
            <w:vAlign w:val="center"/>
          </w:tcPr>
          <w:p w14:paraId="4B05A87D" w14:textId="77777777" w:rsidR="009039E9" w:rsidRPr="009039E9" w:rsidRDefault="009039E9" w:rsidP="009039E9">
            <w:pPr>
              <w:spacing w:line="276" w:lineRule="auto"/>
              <w:rPr>
                <w:rFonts w:eastAsia="Calibri"/>
                <w:color w:val="000000"/>
                <w:sz w:val="22"/>
                <w:szCs w:val="22"/>
                <w:lang w:eastAsia="en-US"/>
              </w:rPr>
            </w:pPr>
            <w:r w:rsidRPr="009039E9">
              <w:rPr>
                <w:rFonts w:eastAsia="Calibri"/>
                <w:color w:val="000000"/>
                <w:sz w:val="22"/>
                <w:szCs w:val="22"/>
                <w:lang w:eastAsia="en-US"/>
              </w:rPr>
              <w:t>Diplôme Bac+5 ou tout autre diplôme reconnu équivalent, en environnement ou en santé/sécurité, ou toute autre discipline équivalente</w:t>
            </w:r>
          </w:p>
        </w:tc>
      </w:tr>
      <w:tr w:rsidR="009039E9" w:rsidRPr="009039E9" w14:paraId="0D897E5E" w14:textId="77777777" w:rsidTr="002D6626">
        <w:trPr>
          <w:trHeight w:val="20"/>
        </w:trPr>
        <w:tc>
          <w:tcPr>
            <w:tcW w:w="568" w:type="dxa"/>
            <w:tcBorders>
              <w:top w:val="single" w:sz="6" w:space="0" w:color="auto"/>
              <w:left w:val="single" w:sz="6" w:space="0" w:color="auto"/>
              <w:bottom w:val="single" w:sz="6" w:space="0" w:color="auto"/>
              <w:right w:val="single" w:sz="6" w:space="0" w:color="auto"/>
            </w:tcBorders>
            <w:vAlign w:val="center"/>
          </w:tcPr>
          <w:p w14:paraId="13D59E87" w14:textId="77777777" w:rsidR="009039E9" w:rsidRPr="009039E9" w:rsidRDefault="009039E9" w:rsidP="009039E9">
            <w:pPr>
              <w:spacing w:line="276" w:lineRule="auto"/>
              <w:rPr>
                <w:rFonts w:eastAsia="Calibri"/>
                <w:i/>
                <w:sz w:val="22"/>
                <w:szCs w:val="22"/>
                <w:lang w:eastAsia="en-US"/>
              </w:rPr>
            </w:pPr>
            <w:r w:rsidRPr="009039E9">
              <w:rPr>
                <w:rFonts w:eastAsia="Calibri"/>
                <w:i/>
                <w:sz w:val="22"/>
                <w:szCs w:val="22"/>
                <w:lang w:eastAsia="en-US"/>
              </w:rPr>
              <w:lastRenderedPageBreak/>
              <w:t>8</w:t>
            </w:r>
          </w:p>
        </w:tc>
        <w:tc>
          <w:tcPr>
            <w:tcW w:w="1118" w:type="dxa"/>
            <w:tcBorders>
              <w:top w:val="single" w:sz="6" w:space="0" w:color="auto"/>
              <w:left w:val="single" w:sz="6" w:space="0" w:color="auto"/>
              <w:bottom w:val="single" w:sz="6" w:space="0" w:color="auto"/>
              <w:right w:val="single" w:sz="6" w:space="0" w:color="auto"/>
            </w:tcBorders>
            <w:vAlign w:val="center"/>
          </w:tcPr>
          <w:p w14:paraId="052F4FBA" w14:textId="77777777" w:rsidR="009039E9" w:rsidRPr="009039E9" w:rsidRDefault="009039E9" w:rsidP="009039E9">
            <w:pPr>
              <w:spacing w:line="276" w:lineRule="auto"/>
              <w:rPr>
                <w:rFonts w:eastAsia="Calibri"/>
                <w:i/>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vAlign w:val="center"/>
          </w:tcPr>
          <w:p w14:paraId="03124C45" w14:textId="77777777" w:rsidR="009039E9" w:rsidRPr="009039E9" w:rsidRDefault="009039E9" w:rsidP="009039E9">
            <w:pPr>
              <w:spacing w:line="276" w:lineRule="auto"/>
              <w:rPr>
                <w:rFonts w:eastAsia="Calibri"/>
                <w:i/>
                <w:sz w:val="22"/>
                <w:szCs w:val="22"/>
                <w:lang w:eastAsia="en-US"/>
              </w:rPr>
            </w:pPr>
            <w:r w:rsidRPr="009039E9">
              <w:rPr>
                <w:rFonts w:eastAsia="Calibri"/>
                <w:color w:val="000000"/>
                <w:sz w:val="22"/>
                <w:szCs w:val="22"/>
                <w:lang w:eastAsia="en-US"/>
              </w:rPr>
              <w:t>Responsable Social et VBG</w:t>
            </w:r>
            <w:r w:rsidRPr="009039E9">
              <w:rPr>
                <w:rFonts w:eastAsia="Calibri"/>
                <w:color w:val="000000"/>
                <w:sz w:val="22"/>
                <w:szCs w:val="22"/>
                <w:lang w:eastAsia="en-US"/>
              </w:rPr>
              <w:br/>
              <w:t>(Résident)</w:t>
            </w:r>
          </w:p>
        </w:tc>
        <w:tc>
          <w:tcPr>
            <w:tcW w:w="1417" w:type="dxa"/>
            <w:tcBorders>
              <w:top w:val="single" w:sz="6" w:space="0" w:color="auto"/>
              <w:left w:val="single" w:sz="6" w:space="0" w:color="auto"/>
              <w:bottom w:val="single" w:sz="6" w:space="0" w:color="auto"/>
              <w:right w:val="single" w:sz="6" w:space="0" w:color="auto"/>
            </w:tcBorders>
            <w:vAlign w:val="center"/>
          </w:tcPr>
          <w:p w14:paraId="7004A14B" w14:textId="77777777" w:rsidR="009039E9" w:rsidRPr="009039E9" w:rsidRDefault="009039E9" w:rsidP="009039E9">
            <w:pPr>
              <w:spacing w:line="276" w:lineRule="auto"/>
              <w:rPr>
                <w:rFonts w:eastAsia="Calibri"/>
                <w:color w:val="000000"/>
                <w:sz w:val="22"/>
                <w:szCs w:val="22"/>
                <w:lang w:val="en-US" w:eastAsia="en-US"/>
              </w:rPr>
            </w:pPr>
            <w:r w:rsidRPr="009039E9">
              <w:rPr>
                <w:rFonts w:eastAsia="Calibri"/>
                <w:color w:val="000000"/>
                <w:sz w:val="22"/>
                <w:szCs w:val="22"/>
                <w:lang w:val="en-US" w:eastAsia="en-US"/>
              </w:rPr>
              <w:t xml:space="preserve">5 </w:t>
            </w:r>
            <w:proofErr w:type="spellStart"/>
            <w:r w:rsidRPr="009039E9">
              <w:rPr>
                <w:rFonts w:eastAsia="Calibri"/>
                <w:color w:val="000000"/>
                <w:sz w:val="22"/>
                <w:szCs w:val="22"/>
                <w:lang w:val="en-US" w:eastAsia="en-US"/>
              </w:rPr>
              <w:t>ans</w:t>
            </w:r>
            <w:proofErr w:type="spellEnd"/>
            <w:r w:rsidRPr="009039E9">
              <w:rPr>
                <w:rFonts w:eastAsia="Calibri"/>
                <w:color w:val="000000"/>
                <w:sz w:val="22"/>
                <w:szCs w:val="22"/>
                <w:lang w:val="en-US" w:eastAsia="en-US"/>
              </w:rPr>
              <w:t xml:space="preserve"> </w:t>
            </w:r>
          </w:p>
        </w:tc>
        <w:tc>
          <w:tcPr>
            <w:tcW w:w="2426" w:type="dxa"/>
            <w:tcBorders>
              <w:top w:val="single" w:sz="6" w:space="0" w:color="auto"/>
              <w:left w:val="single" w:sz="6" w:space="0" w:color="auto"/>
              <w:bottom w:val="single" w:sz="6" w:space="0" w:color="auto"/>
              <w:right w:val="single" w:sz="6" w:space="0" w:color="auto"/>
            </w:tcBorders>
            <w:vAlign w:val="center"/>
          </w:tcPr>
          <w:p w14:paraId="7CACBD38" w14:textId="77777777" w:rsidR="009039E9" w:rsidRPr="009039E9" w:rsidRDefault="009039E9" w:rsidP="009039E9">
            <w:pPr>
              <w:spacing w:line="276" w:lineRule="auto"/>
              <w:jc w:val="both"/>
              <w:rPr>
                <w:rFonts w:eastAsia="Calibri"/>
                <w:color w:val="000000"/>
                <w:sz w:val="22"/>
                <w:szCs w:val="22"/>
                <w:lang w:eastAsia="en-US"/>
              </w:rPr>
            </w:pPr>
            <w:r w:rsidRPr="009039E9">
              <w:rPr>
                <w:rFonts w:eastAsia="Calibri"/>
                <w:color w:val="000000"/>
                <w:sz w:val="22"/>
                <w:szCs w:val="22"/>
                <w:lang w:eastAsia="en-US"/>
              </w:rPr>
              <w:t>Un (1) marché similaire au cours des trois (3) dernières années</w:t>
            </w:r>
          </w:p>
        </w:tc>
        <w:tc>
          <w:tcPr>
            <w:tcW w:w="2535" w:type="dxa"/>
            <w:tcBorders>
              <w:top w:val="single" w:sz="6" w:space="0" w:color="auto"/>
              <w:left w:val="single" w:sz="6" w:space="0" w:color="auto"/>
              <w:bottom w:val="single" w:sz="6" w:space="0" w:color="auto"/>
              <w:right w:val="single" w:sz="6" w:space="0" w:color="auto"/>
            </w:tcBorders>
            <w:vAlign w:val="center"/>
          </w:tcPr>
          <w:p w14:paraId="09E411BF" w14:textId="77777777" w:rsidR="009039E9" w:rsidRPr="009039E9" w:rsidRDefault="009039E9" w:rsidP="009039E9">
            <w:pPr>
              <w:spacing w:line="276" w:lineRule="auto"/>
              <w:rPr>
                <w:rFonts w:eastAsia="Calibri"/>
                <w:color w:val="000000"/>
                <w:sz w:val="22"/>
                <w:szCs w:val="22"/>
                <w:lang w:eastAsia="en-US"/>
              </w:rPr>
            </w:pPr>
            <w:r w:rsidRPr="009039E9">
              <w:rPr>
                <w:rFonts w:eastAsia="Calibri"/>
                <w:color w:val="000000"/>
                <w:sz w:val="22"/>
                <w:szCs w:val="22"/>
                <w:lang w:eastAsia="en-US"/>
              </w:rPr>
              <w:t>Diplôme Bac+5 en sociologie ou tout autre diplôme reconnu équivalent, option Prévention de l'exploitation et des abus sexuels (PEAS) ou toute formation complémentaire équivalente</w:t>
            </w:r>
          </w:p>
        </w:tc>
      </w:tr>
      <w:tr w:rsidR="009039E9" w:rsidRPr="009039E9" w14:paraId="6506AABD" w14:textId="77777777" w:rsidTr="002D6626">
        <w:trPr>
          <w:trHeight w:val="20"/>
        </w:trPr>
        <w:tc>
          <w:tcPr>
            <w:tcW w:w="568" w:type="dxa"/>
            <w:tcBorders>
              <w:top w:val="single" w:sz="6" w:space="0" w:color="auto"/>
              <w:left w:val="single" w:sz="6" w:space="0" w:color="auto"/>
              <w:bottom w:val="single" w:sz="6" w:space="0" w:color="auto"/>
              <w:right w:val="single" w:sz="6" w:space="0" w:color="auto"/>
            </w:tcBorders>
            <w:vAlign w:val="center"/>
          </w:tcPr>
          <w:p w14:paraId="6EC1958A" w14:textId="77777777" w:rsidR="009039E9" w:rsidRPr="009039E9" w:rsidRDefault="009039E9" w:rsidP="009039E9">
            <w:pPr>
              <w:spacing w:line="276" w:lineRule="auto"/>
              <w:rPr>
                <w:rFonts w:eastAsia="Calibri"/>
                <w:i/>
                <w:sz w:val="22"/>
                <w:szCs w:val="22"/>
                <w:lang w:eastAsia="en-US"/>
              </w:rPr>
            </w:pPr>
            <w:r w:rsidRPr="009039E9">
              <w:rPr>
                <w:rFonts w:eastAsia="Calibri"/>
                <w:i/>
                <w:sz w:val="22"/>
                <w:szCs w:val="22"/>
                <w:lang w:eastAsia="en-US"/>
              </w:rPr>
              <w:t>9</w:t>
            </w:r>
          </w:p>
        </w:tc>
        <w:tc>
          <w:tcPr>
            <w:tcW w:w="1118" w:type="dxa"/>
            <w:tcBorders>
              <w:top w:val="single" w:sz="6" w:space="0" w:color="auto"/>
              <w:left w:val="single" w:sz="6" w:space="0" w:color="auto"/>
              <w:bottom w:val="single" w:sz="6" w:space="0" w:color="auto"/>
              <w:right w:val="single" w:sz="6" w:space="0" w:color="auto"/>
            </w:tcBorders>
            <w:vAlign w:val="center"/>
          </w:tcPr>
          <w:p w14:paraId="1392D495" w14:textId="77777777" w:rsidR="009039E9" w:rsidRPr="009039E9" w:rsidRDefault="009039E9" w:rsidP="009039E9">
            <w:pPr>
              <w:spacing w:line="276" w:lineRule="auto"/>
              <w:rPr>
                <w:rFonts w:eastAsia="Calibri"/>
                <w:i/>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vAlign w:val="center"/>
          </w:tcPr>
          <w:p w14:paraId="02F21EF1" w14:textId="77777777" w:rsidR="009039E9" w:rsidRPr="009039E9" w:rsidRDefault="009039E9" w:rsidP="009039E9">
            <w:pPr>
              <w:spacing w:line="276" w:lineRule="auto"/>
              <w:rPr>
                <w:rFonts w:eastAsia="Calibri"/>
                <w:i/>
                <w:sz w:val="22"/>
                <w:szCs w:val="22"/>
                <w:lang w:eastAsia="en-US"/>
              </w:rPr>
            </w:pPr>
            <w:r w:rsidRPr="009039E9">
              <w:rPr>
                <w:rFonts w:eastAsia="Calibri"/>
                <w:color w:val="000000"/>
                <w:sz w:val="22"/>
                <w:szCs w:val="22"/>
                <w:lang w:eastAsia="en-US"/>
              </w:rPr>
              <w:t>Responsable Sûreté</w:t>
            </w:r>
            <w:r w:rsidRPr="009039E9">
              <w:rPr>
                <w:rFonts w:eastAsia="Calibri"/>
                <w:color w:val="000000"/>
                <w:sz w:val="22"/>
                <w:szCs w:val="22"/>
                <w:lang w:eastAsia="en-US"/>
              </w:rPr>
              <w:br/>
              <w:t>(Résident)</w:t>
            </w:r>
          </w:p>
        </w:tc>
        <w:tc>
          <w:tcPr>
            <w:tcW w:w="1417" w:type="dxa"/>
            <w:tcBorders>
              <w:top w:val="single" w:sz="6" w:space="0" w:color="auto"/>
              <w:left w:val="single" w:sz="6" w:space="0" w:color="auto"/>
              <w:bottom w:val="single" w:sz="6" w:space="0" w:color="auto"/>
              <w:right w:val="single" w:sz="6" w:space="0" w:color="auto"/>
            </w:tcBorders>
            <w:vAlign w:val="center"/>
          </w:tcPr>
          <w:p w14:paraId="1D99A99E" w14:textId="77777777" w:rsidR="009039E9" w:rsidRPr="009039E9" w:rsidRDefault="009039E9" w:rsidP="009039E9">
            <w:pPr>
              <w:spacing w:line="276" w:lineRule="auto"/>
              <w:rPr>
                <w:rFonts w:eastAsia="Calibri"/>
                <w:color w:val="000000"/>
                <w:sz w:val="22"/>
                <w:szCs w:val="22"/>
                <w:lang w:val="en-US" w:eastAsia="en-US"/>
              </w:rPr>
            </w:pPr>
            <w:r w:rsidRPr="009039E9">
              <w:rPr>
                <w:rFonts w:eastAsia="Calibri"/>
                <w:color w:val="000000"/>
                <w:sz w:val="22"/>
                <w:szCs w:val="22"/>
                <w:lang w:val="en-US" w:eastAsia="en-US"/>
              </w:rPr>
              <w:t xml:space="preserve">5 </w:t>
            </w:r>
            <w:proofErr w:type="spellStart"/>
            <w:r w:rsidRPr="009039E9">
              <w:rPr>
                <w:rFonts w:eastAsia="Calibri"/>
                <w:color w:val="000000"/>
                <w:sz w:val="22"/>
                <w:szCs w:val="22"/>
                <w:lang w:val="en-US" w:eastAsia="en-US"/>
              </w:rPr>
              <w:t>ans</w:t>
            </w:r>
            <w:proofErr w:type="spellEnd"/>
          </w:p>
        </w:tc>
        <w:tc>
          <w:tcPr>
            <w:tcW w:w="2426" w:type="dxa"/>
            <w:tcBorders>
              <w:top w:val="single" w:sz="6" w:space="0" w:color="auto"/>
              <w:left w:val="single" w:sz="6" w:space="0" w:color="auto"/>
              <w:bottom w:val="single" w:sz="6" w:space="0" w:color="auto"/>
              <w:right w:val="single" w:sz="6" w:space="0" w:color="auto"/>
            </w:tcBorders>
            <w:vAlign w:val="center"/>
          </w:tcPr>
          <w:p w14:paraId="2B0CD05E" w14:textId="77777777" w:rsidR="009039E9" w:rsidRPr="009039E9" w:rsidRDefault="009039E9" w:rsidP="009039E9">
            <w:pPr>
              <w:spacing w:line="276" w:lineRule="auto"/>
              <w:jc w:val="both"/>
              <w:rPr>
                <w:rFonts w:eastAsia="Calibri"/>
                <w:color w:val="000000"/>
                <w:sz w:val="22"/>
                <w:szCs w:val="22"/>
                <w:lang w:eastAsia="en-US"/>
              </w:rPr>
            </w:pPr>
            <w:r w:rsidRPr="009039E9">
              <w:rPr>
                <w:rFonts w:eastAsia="Calibri"/>
                <w:color w:val="000000"/>
                <w:sz w:val="22"/>
                <w:szCs w:val="22"/>
                <w:lang w:eastAsia="en-US"/>
              </w:rPr>
              <w:t>Un (1) marché similaire au cours des trois (3) dernières années</w:t>
            </w:r>
          </w:p>
        </w:tc>
        <w:tc>
          <w:tcPr>
            <w:tcW w:w="2535" w:type="dxa"/>
            <w:tcBorders>
              <w:top w:val="single" w:sz="6" w:space="0" w:color="auto"/>
              <w:left w:val="single" w:sz="6" w:space="0" w:color="auto"/>
              <w:bottom w:val="single" w:sz="6" w:space="0" w:color="auto"/>
              <w:right w:val="single" w:sz="6" w:space="0" w:color="auto"/>
            </w:tcBorders>
            <w:vAlign w:val="center"/>
          </w:tcPr>
          <w:p w14:paraId="25A278F2" w14:textId="77777777" w:rsidR="009039E9" w:rsidRPr="009039E9" w:rsidRDefault="009039E9" w:rsidP="009039E9">
            <w:pPr>
              <w:spacing w:line="276" w:lineRule="auto"/>
              <w:rPr>
                <w:rFonts w:eastAsia="Calibri"/>
                <w:color w:val="000000"/>
                <w:sz w:val="22"/>
                <w:szCs w:val="22"/>
                <w:lang w:eastAsia="en-US"/>
              </w:rPr>
            </w:pPr>
            <w:r w:rsidRPr="009039E9">
              <w:rPr>
                <w:rFonts w:eastAsia="Calibri"/>
                <w:color w:val="000000"/>
                <w:sz w:val="22"/>
                <w:szCs w:val="22"/>
                <w:lang w:eastAsia="en-US"/>
              </w:rPr>
              <w:t>Diplôme Bac+2 avec une expérience sûreté avérée.</w:t>
            </w:r>
          </w:p>
        </w:tc>
      </w:tr>
    </w:tbl>
    <w:p w14:paraId="4BD0F1CC" w14:textId="77777777" w:rsidR="009039E9" w:rsidRPr="009039E9" w:rsidRDefault="009039E9" w:rsidP="009039E9">
      <w:pPr>
        <w:spacing w:after="120"/>
        <w:jc w:val="both"/>
        <w:rPr>
          <w:rFonts w:eastAsia="Calibri"/>
          <w:highlight w:val="cyan"/>
          <w:lang w:eastAsia="en-US"/>
        </w:rPr>
      </w:pPr>
    </w:p>
    <w:p w14:paraId="29D8F07C" w14:textId="77777777" w:rsidR="009039E9" w:rsidRPr="009039E9" w:rsidRDefault="009039E9" w:rsidP="009039E9">
      <w:pPr>
        <w:spacing w:after="120"/>
        <w:jc w:val="both"/>
        <w:rPr>
          <w:rFonts w:eastAsia="Calibri"/>
          <w:b/>
          <w:bCs/>
          <w:i/>
          <w:iCs/>
          <w:lang w:eastAsia="en-US"/>
        </w:rPr>
      </w:pPr>
      <w:r w:rsidRPr="009039E9">
        <w:rPr>
          <w:rFonts w:eastAsia="Calibri"/>
          <w:b/>
          <w:bCs/>
          <w:i/>
          <w:iCs/>
          <w:lang w:eastAsia="en-US"/>
        </w:rPr>
        <w:t>NB : Chaque Soumissionnaire devra joindre à la liste du personnel proposé, les CV et copies légalisées des diplômes ou autres documents permettant une appréciation de la qualification dudit personnel.</w:t>
      </w:r>
    </w:p>
    <w:p w14:paraId="028E8291" w14:textId="77777777" w:rsidR="009039E9" w:rsidRPr="009039E9" w:rsidRDefault="009039E9" w:rsidP="009039E9">
      <w:pPr>
        <w:spacing w:after="120"/>
        <w:ind w:firstLine="709"/>
        <w:jc w:val="both"/>
        <w:rPr>
          <w:rFonts w:eastAsia="Calibri"/>
          <w:b/>
          <w:bCs/>
          <w:i/>
          <w:iCs/>
          <w:lang w:eastAsia="en-US"/>
        </w:rPr>
      </w:pPr>
      <w:r w:rsidRPr="009039E9">
        <w:rPr>
          <w:rFonts w:eastAsia="Calibri"/>
          <w:b/>
          <w:bCs/>
          <w:i/>
          <w:iCs/>
          <w:lang w:eastAsia="en-US"/>
        </w:rPr>
        <w:t>La liste du personnel est celle exigée pour chacun des lots 1 à 5, le soumissionnaire devra fournir pour chacun de ces lots auxquels il soumissionne la liste du personnel affecté.</w:t>
      </w:r>
    </w:p>
    <w:p w14:paraId="3033AD06" w14:textId="77777777" w:rsidR="009039E9" w:rsidRPr="009039E9" w:rsidRDefault="009039E9" w:rsidP="009039E9">
      <w:pPr>
        <w:numPr>
          <w:ilvl w:val="0"/>
          <w:numId w:val="13"/>
        </w:numPr>
        <w:spacing w:after="120" w:line="276" w:lineRule="auto"/>
        <w:jc w:val="both"/>
        <w:rPr>
          <w:rFonts w:eastAsia="Calibri"/>
          <w:lang w:eastAsia="en-US"/>
        </w:rPr>
      </w:pPr>
      <w:proofErr w:type="gramStart"/>
      <w:r w:rsidRPr="009039E9">
        <w:rPr>
          <w:rFonts w:eastAsia="Calibri"/>
          <w:lang w:eastAsia="en-US"/>
        </w:rPr>
        <w:t>une</w:t>
      </w:r>
      <w:proofErr w:type="gramEnd"/>
      <w:r w:rsidRPr="009039E9">
        <w:rPr>
          <w:rFonts w:eastAsia="Calibri"/>
          <w:lang w:eastAsia="en-US"/>
        </w:rPr>
        <w:t xml:space="preserve"> liste des travaux/fournitures exécutés au cours des trois dernières années (2022, 2023, 2024), assortie de certificats de bonne exécution pour les travaux les plus importants ;</w:t>
      </w:r>
    </w:p>
    <w:p w14:paraId="49818970" w14:textId="77777777" w:rsidR="009039E9" w:rsidRPr="009039E9" w:rsidRDefault="009039E9" w:rsidP="009039E9">
      <w:pPr>
        <w:numPr>
          <w:ilvl w:val="0"/>
          <w:numId w:val="13"/>
        </w:numPr>
        <w:spacing w:after="120" w:line="276" w:lineRule="auto"/>
        <w:jc w:val="both"/>
        <w:rPr>
          <w:rFonts w:eastAsia="Calibri"/>
          <w:lang w:eastAsia="en-US"/>
        </w:rPr>
      </w:pPr>
      <w:proofErr w:type="gramStart"/>
      <w:r w:rsidRPr="009039E9">
        <w:rPr>
          <w:rFonts w:eastAsia="Calibri"/>
          <w:lang w:eastAsia="en-US"/>
        </w:rPr>
        <w:t>une</w:t>
      </w:r>
      <w:proofErr w:type="gramEnd"/>
      <w:r w:rsidRPr="009039E9">
        <w:rPr>
          <w:rFonts w:eastAsia="Calibri"/>
          <w:lang w:eastAsia="en-US"/>
        </w:rPr>
        <w:t xml:space="preserve"> déclaration indiquant l’équipement technique, l’outillage et le matériel dont disposera l’opérateur économique pour exécuter un marché de services ou de travaux (pour chacun des lots 1 à 5) ;</w:t>
      </w:r>
    </w:p>
    <w:p w14:paraId="09825865" w14:textId="77777777" w:rsidR="009039E9" w:rsidRPr="009039E9" w:rsidRDefault="009039E9" w:rsidP="009039E9">
      <w:pPr>
        <w:numPr>
          <w:ilvl w:val="0"/>
          <w:numId w:val="13"/>
        </w:numPr>
        <w:spacing w:after="120" w:line="276" w:lineRule="auto"/>
        <w:jc w:val="both"/>
        <w:rPr>
          <w:rFonts w:eastAsia="Calibri"/>
          <w:lang w:eastAsia="en-US"/>
        </w:rPr>
      </w:pPr>
      <w:proofErr w:type="gramStart"/>
      <w:r w:rsidRPr="009039E9">
        <w:rPr>
          <w:rFonts w:eastAsia="Calibri"/>
          <w:lang w:eastAsia="en-US"/>
        </w:rPr>
        <w:t>une</w:t>
      </w:r>
      <w:proofErr w:type="gramEnd"/>
      <w:r w:rsidRPr="009039E9">
        <w:rPr>
          <w:rFonts w:eastAsia="Calibri"/>
          <w:lang w:eastAsia="en-US"/>
        </w:rPr>
        <w:t xml:space="preserve"> description de l’équipement technique et des moyens dont dispose l’opérateur économique pour s’assurer de la qualité, et une description de ses moyens d’étude et de recherche (pour chacun des lots 1 à 5) ;</w:t>
      </w:r>
    </w:p>
    <w:p w14:paraId="6885D1D6" w14:textId="77777777" w:rsidR="009039E9" w:rsidRPr="009039E9" w:rsidRDefault="009039E9" w:rsidP="009039E9">
      <w:pPr>
        <w:spacing w:after="120"/>
        <w:jc w:val="both"/>
        <w:rPr>
          <w:rFonts w:eastAsia="Calibri"/>
          <w:b/>
          <w:bCs/>
          <w:lang w:eastAsia="en-US"/>
        </w:rPr>
      </w:pPr>
      <w:r w:rsidRPr="009039E9">
        <w:rPr>
          <w:rFonts w:eastAsia="Calibri"/>
          <w:b/>
          <w:bCs/>
          <w:lang w:eastAsia="en-US"/>
        </w:rPr>
        <w:t xml:space="preserve">Le Soumissionnaire démontrera qu’il peut se procurer (achat, location-vente, location) à minima le matériel suivant pour l’exécution des travaux </w:t>
      </w:r>
      <w:r w:rsidRPr="009039E9">
        <w:rPr>
          <w:rFonts w:eastAsia="Calibri"/>
          <w:lang w:eastAsia="en-US"/>
        </w:rPr>
        <w:t>(uniquement pour les Lots 1 à 5)</w:t>
      </w:r>
      <w:r w:rsidRPr="009039E9">
        <w:rPr>
          <w:rFonts w:eastAsia="Calibri"/>
          <w:b/>
          <w:bCs/>
          <w:lang w:eastAsia="en-US"/>
        </w:rPr>
        <w:t>.</w:t>
      </w:r>
    </w:p>
    <w:p w14:paraId="70CFF2F4" w14:textId="77777777" w:rsidR="009039E9" w:rsidRPr="009039E9" w:rsidRDefault="009039E9" w:rsidP="001320EC">
      <w:pPr>
        <w:jc w:val="both"/>
        <w:rPr>
          <w:rFonts w:eastAsia="Calibri"/>
          <w:lang w:eastAsia="en-US"/>
        </w:rPr>
      </w:pPr>
    </w:p>
    <w:tbl>
      <w:tblPr>
        <w:tblW w:w="87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
        <w:gridCol w:w="6946"/>
        <w:gridCol w:w="1276"/>
      </w:tblGrid>
      <w:tr w:rsidR="009039E9" w:rsidRPr="009039E9" w14:paraId="28FFE8F5" w14:textId="77777777" w:rsidTr="001320EC">
        <w:trPr>
          <w:jc w:val="center"/>
        </w:trPr>
        <w:tc>
          <w:tcPr>
            <w:tcW w:w="552" w:type="dxa"/>
            <w:tcBorders>
              <w:top w:val="single" w:sz="12" w:space="0" w:color="auto"/>
              <w:left w:val="single" w:sz="12" w:space="0" w:color="auto"/>
              <w:bottom w:val="single" w:sz="12" w:space="0" w:color="auto"/>
              <w:right w:val="single" w:sz="12" w:space="0" w:color="auto"/>
            </w:tcBorders>
          </w:tcPr>
          <w:p w14:paraId="74A87046" w14:textId="77777777" w:rsidR="009039E9" w:rsidRPr="009039E9" w:rsidRDefault="009039E9" w:rsidP="009039E9">
            <w:pPr>
              <w:jc w:val="both"/>
              <w:rPr>
                <w:rFonts w:eastAsia="Calibri"/>
                <w:b/>
                <w:lang w:eastAsia="en-US"/>
              </w:rPr>
            </w:pPr>
            <w:r w:rsidRPr="009039E9">
              <w:rPr>
                <w:rFonts w:eastAsia="Calibri"/>
                <w:b/>
                <w:lang w:eastAsia="en-US"/>
              </w:rPr>
              <w:t>N°</w:t>
            </w:r>
          </w:p>
        </w:tc>
        <w:tc>
          <w:tcPr>
            <w:tcW w:w="6946" w:type="dxa"/>
            <w:tcBorders>
              <w:top w:val="single" w:sz="12" w:space="0" w:color="auto"/>
              <w:left w:val="single" w:sz="12" w:space="0" w:color="auto"/>
              <w:bottom w:val="single" w:sz="12" w:space="0" w:color="auto"/>
              <w:right w:val="single" w:sz="12" w:space="0" w:color="auto"/>
            </w:tcBorders>
          </w:tcPr>
          <w:p w14:paraId="7CE83486" w14:textId="77777777" w:rsidR="009039E9" w:rsidRPr="009039E9" w:rsidRDefault="009039E9" w:rsidP="009039E9">
            <w:pPr>
              <w:jc w:val="both"/>
              <w:rPr>
                <w:rFonts w:eastAsia="Calibri"/>
                <w:b/>
                <w:lang w:eastAsia="en-US"/>
              </w:rPr>
            </w:pPr>
            <w:r w:rsidRPr="009039E9">
              <w:rPr>
                <w:rFonts w:eastAsia="Calibri"/>
                <w:b/>
                <w:lang w:eastAsia="en-US"/>
              </w:rPr>
              <w:t>Type et caractéristiques du matériel</w:t>
            </w:r>
          </w:p>
        </w:tc>
        <w:tc>
          <w:tcPr>
            <w:tcW w:w="1276" w:type="dxa"/>
            <w:tcBorders>
              <w:top w:val="single" w:sz="12" w:space="0" w:color="auto"/>
              <w:left w:val="single" w:sz="12" w:space="0" w:color="auto"/>
              <w:bottom w:val="single" w:sz="12" w:space="0" w:color="auto"/>
              <w:right w:val="single" w:sz="12" w:space="0" w:color="auto"/>
            </w:tcBorders>
          </w:tcPr>
          <w:p w14:paraId="7333E5B3" w14:textId="77777777" w:rsidR="009039E9" w:rsidRPr="009039E9" w:rsidRDefault="009039E9" w:rsidP="009039E9">
            <w:pPr>
              <w:jc w:val="both"/>
              <w:rPr>
                <w:rFonts w:eastAsia="Calibri"/>
                <w:b/>
                <w:lang w:eastAsia="en-US"/>
              </w:rPr>
            </w:pPr>
            <w:r w:rsidRPr="009039E9">
              <w:rPr>
                <w:rFonts w:eastAsia="Calibri"/>
                <w:b/>
                <w:lang w:eastAsia="en-US"/>
              </w:rPr>
              <w:t>Nombre minimum requis</w:t>
            </w:r>
          </w:p>
        </w:tc>
      </w:tr>
      <w:tr w:rsidR="009039E9" w:rsidRPr="009039E9" w14:paraId="5E8B557E" w14:textId="77777777" w:rsidTr="001320EC">
        <w:trPr>
          <w:jc w:val="center"/>
        </w:trPr>
        <w:tc>
          <w:tcPr>
            <w:tcW w:w="552" w:type="dxa"/>
            <w:tcBorders>
              <w:top w:val="single" w:sz="12" w:space="0" w:color="auto"/>
              <w:left w:val="single" w:sz="6" w:space="0" w:color="auto"/>
              <w:bottom w:val="single" w:sz="6" w:space="0" w:color="auto"/>
              <w:right w:val="single" w:sz="6" w:space="0" w:color="auto"/>
            </w:tcBorders>
          </w:tcPr>
          <w:p w14:paraId="7C98CC40" w14:textId="77777777" w:rsidR="009039E9" w:rsidRPr="009039E9" w:rsidRDefault="009039E9" w:rsidP="009039E9">
            <w:pPr>
              <w:jc w:val="both"/>
              <w:rPr>
                <w:rFonts w:eastAsia="Calibri"/>
                <w:lang w:eastAsia="en-US"/>
              </w:rPr>
            </w:pPr>
            <w:r w:rsidRPr="009039E9">
              <w:rPr>
                <w:rFonts w:eastAsia="Calibri"/>
                <w:lang w:eastAsia="en-US"/>
              </w:rPr>
              <w:t>1</w:t>
            </w:r>
          </w:p>
        </w:tc>
        <w:tc>
          <w:tcPr>
            <w:tcW w:w="6946" w:type="dxa"/>
            <w:tcBorders>
              <w:top w:val="single" w:sz="12" w:space="0" w:color="auto"/>
              <w:left w:val="single" w:sz="6" w:space="0" w:color="auto"/>
              <w:bottom w:val="single" w:sz="6" w:space="0" w:color="auto"/>
              <w:right w:val="single" w:sz="6" w:space="0" w:color="auto"/>
            </w:tcBorders>
            <w:vAlign w:val="center"/>
          </w:tcPr>
          <w:p w14:paraId="0CE0BDDF" w14:textId="77777777" w:rsidR="009039E9" w:rsidRPr="009039E9" w:rsidRDefault="009039E9" w:rsidP="009039E9">
            <w:pPr>
              <w:jc w:val="both"/>
              <w:rPr>
                <w:rFonts w:eastAsia="Calibri"/>
                <w:lang w:eastAsia="en-US"/>
              </w:rPr>
            </w:pPr>
            <w:r w:rsidRPr="009039E9">
              <w:rPr>
                <w:rFonts w:eastAsia="Calibri"/>
                <w:lang w:val="en-US" w:eastAsia="en-US"/>
              </w:rPr>
              <w:t>Grue</w:t>
            </w:r>
          </w:p>
        </w:tc>
        <w:tc>
          <w:tcPr>
            <w:tcW w:w="1276" w:type="dxa"/>
            <w:tcBorders>
              <w:top w:val="single" w:sz="12" w:space="0" w:color="auto"/>
              <w:left w:val="single" w:sz="6" w:space="0" w:color="auto"/>
              <w:bottom w:val="single" w:sz="6" w:space="0" w:color="auto"/>
              <w:right w:val="single" w:sz="6" w:space="0" w:color="auto"/>
            </w:tcBorders>
            <w:vAlign w:val="center"/>
          </w:tcPr>
          <w:p w14:paraId="24E0C8FD" w14:textId="77777777" w:rsidR="009039E9" w:rsidRPr="009039E9" w:rsidRDefault="009039E9" w:rsidP="009039E9">
            <w:pPr>
              <w:jc w:val="both"/>
              <w:rPr>
                <w:rFonts w:eastAsia="Calibri"/>
                <w:lang w:eastAsia="en-US"/>
              </w:rPr>
            </w:pPr>
            <w:r w:rsidRPr="009039E9">
              <w:rPr>
                <w:rFonts w:eastAsia="Calibri"/>
                <w:lang w:val="en-US" w:eastAsia="en-US"/>
              </w:rPr>
              <w:t>1</w:t>
            </w:r>
          </w:p>
        </w:tc>
      </w:tr>
      <w:tr w:rsidR="009039E9" w:rsidRPr="009039E9" w14:paraId="0FE7A9DC" w14:textId="77777777" w:rsidTr="001320EC">
        <w:trPr>
          <w:jc w:val="center"/>
        </w:trPr>
        <w:tc>
          <w:tcPr>
            <w:tcW w:w="552" w:type="dxa"/>
            <w:tcBorders>
              <w:top w:val="single" w:sz="6" w:space="0" w:color="auto"/>
              <w:left w:val="single" w:sz="6" w:space="0" w:color="auto"/>
              <w:bottom w:val="single" w:sz="6" w:space="0" w:color="auto"/>
              <w:right w:val="single" w:sz="6" w:space="0" w:color="auto"/>
            </w:tcBorders>
          </w:tcPr>
          <w:p w14:paraId="225BBCD5" w14:textId="77777777" w:rsidR="009039E9" w:rsidRPr="009039E9" w:rsidRDefault="009039E9" w:rsidP="009039E9">
            <w:pPr>
              <w:jc w:val="both"/>
              <w:rPr>
                <w:rFonts w:eastAsia="Calibri"/>
                <w:i/>
                <w:lang w:eastAsia="en-US"/>
              </w:rPr>
            </w:pPr>
            <w:r w:rsidRPr="009039E9">
              <w:rPr>
                <w:rFonts w:eastAsia="Calibri"/>
                <w:i/>
                <w:lang w:eastAsia="en-US"/>
              </w:rPr>
              <w:t>2</w:t>
            </w:r>
          </w:p>
        </w:tc>
        <w:tc>
          <w:tcPr>
            <w:tcW w:w="6946" w:type="dxa"/>
            <w:tcBorders>
              <w:top w:val="single" w:sz="6" w:space="0" w:color="auto"/>
              <w:left w:val="single" w:sz="6" w:space="0" w:color="auto"/>
              <w:bottom w:val="single" w:sz="6" w:space="0" w:color="auto"/>
              <w:right w:val="single" w:sz="6" w:space="0" w:color="auto"/>
            </w:tcBorders>
            <w:vAlign w:val="center"/>
          </w:tcPr>
          <w:p w14:paraId="34680D19" w14:textId="77777777" w:rsidR="009039E9" w:rsidRPr="009039E9" w:rsidRDefault="009039E9" w:rsidP="009039E9">
            <w:pPr>
              <w:jc w:val="both"/>
              <w:rPr>
                <w:rFonts w:eastAsia="Calibri"/>
                <w:i/>
                <w:lang w:eastAsia="en-US"/>
              </w:rPr>
            </w:pPr>
            <w:r w:rsidRPr="009039E9">
              <w:rPr>
                <w:rFonts w:eastAsia="Calibri"/>
                <w:lang w:eastAsia="en-US"/>
              </w:rPr>
              <w:t>Moyen de manutention pour la réalisation des fouilles et tranchées</w:t>
            </w:r>
          </w:p>
        </w:tc>
        <w:tc>
          <w:tcPr>
            <w:tcW w:w="1276" w:type="dxa"/>
            <w:tcBorders>
              <w:top w:val="single" w:sz="6" w:space="0" w:color="auto"/>
              <w:left w:val="single" w:sz="6" w:space="0" w:color="auto"/>
              <w:bottom w:val="single" w:sz="6" w:space="0" w:color="auto"/>
              <w:right w:val="single" w:sz="6" w:space="0" w:color="auto"/>
            </w:tcBorders>
            <w:vAlign w:val="center"/>
          </w:tcPr>
          <w:p w14:paraId="16CB4A22" w14:textId="77777777" w:rsidR="009039E9" w:rsidRPr="009039E9" w:rsidRDefault="009039E9" w:rsidP="009039E9">
            <w:pPr>
              <w:jc w:val="both"/>
              <w:rPr>
                <w:rFonts w:eastAsia="Calibri"/>
                <w:i/>
                <w:u w:val="single"/>
                <w:lang w:eastAsia="en-US"/>
              </w:rPr>
            </w:pPr>
            <w:r w:rsidRPr="009039E9">
              <w:rPr>
                <w:rFonts w:eastAsia="Calibri"/>
                <w:lang w:val="en-US" w:eastAsia="en-US"/>
              </w:rPr>
              <w:t>1</w:t>
            </w:r>
          </w:p>
        </w:tc>
      </w:tr>
      <w:tr w:rsidR="009039E9" w:rsidRPr="009039E9" w14:paraId="789CEE37" w14:textId="77777777" w:rsidTr="001320EC">
        <w:trPr>
          <w:jc w:val="center"/>
        </w:trPr>
        <w:tc>
          <w:tcPr>
            <w:tcW w:w="552" w:type="dxa"/>
            <w:tcBorders>
              <w:top w:val="single" w:sz="6" w:space="0" w:color="auto"/>
              <w:left w:val="single" w:sz="6" w:space="0" w:color="auto"/>
              <w:bottom w:val="single" w:sz="6" w:space="0" w:color="auto"/>
              <w:right w:val="single" w:sz="6" w:space="0" w:color="auto"/>
            </w:tcBorders>
          </w:tcPr>
          <w:p w14:paraId="456C168B" w14:textId="77777777" w:rsidR="009039E9" w:rsidRPr="009039E9" w:rsidRDefault="009039E9" w:rsidP="009039E9">
            <w:pPr>
              <w:jc w:val="both"/>
              <w:rPr>
                <w:rFonts w:eastAsia="Calibri"/>
                <w:i/>
                <w:u w:val="single"/>
                <w:lang w:eastAsia="en-US"/>
              </w:rPr>
            </w:pPr>
            <w:r w:rsidRPr="009039E9">
              <w:rPr>
                <w:rFonts w:eastAsia="Calibri"/>
                <w:i/>
                <w:u w:val="single"/>
                <w:lang w:eastAsia="en-US"/>
              </w:rPr>
              <w:t>3</w:t>
            </w:r>
          </w:p>
        </w:tc>
        <w:tc>
          <w:tcPr>
            <w:tcW w:w="6946" w:type="dxa"/>
            <w:tcBorders>
              <w:top w:val="single" w:sz="6" w:space="0" w:color="auto"/>
              <w:left w:val="single" w:sz="6" w:space="0" w:color="auto"/>
              <w:bottom w:val="single" w:sz="6" w:space="0" w:color="auto"/>
              <w:right w:val="single" w:sz="6" w:space="0" w:color="auto"/>
            </w:tcBorders>
            <w:vAlign w:val="center"/>
          </w:tcPr>
          <w:p w14:paraId="5EA9A01F" w14:textId="77777777" w:rsidR="009039E9" w:rsidRPr="009039E9" w:rsidRDefault="009039E9" w:rsidP="009039E9">
            <w:pPr>
              <w:jc w:val="both"/>
              <w:rPr>
                <w:rFonts w:eastAsia="Calibri"/>
                <w:i/>
                <w:lang w:eastAsia="en-US"/>
              </w:rPr>
            </w:pPr>
            <w:r w:rsidRPr="009039E9">
              <w:rPr>
                <w:rFonts w:eastAsia="Calibri"/>
                <w:lang w:eastAsia="en-US"/>
              </w:rPr>
              <w:t>Moyen de manutention pour la pose de transformateurs de puissance</w:t>
            </w:r>
          </w:p>
        </w:tc>
        <w:tc>
          <w:tcPr>
            <w:tcW w:w="1276" w:type="dxa"/>
            <w:tcBorders>
              <w:top w:val="single" w:sz="6" w:space="0" w:color="auto"/>
              <w:left w:val="single" w:sz="6" w:space="0" w:color="auto"/>
              <w:bottom w:val="single" w:sz="6" w:space="0" w:color="auto"/>
              <w:right w:val="single" w:sz="6" w:space="0" w:color="auto"/>
            </w:tcBorders>
            <w:vAlign w:val="center"/>
          </w:tcPr>
          <w:p w14:paraId="2C70A5FF" w14:textId="77777777" w:rsidR="009039E9" w:rsidRPr="009039E9" w:rsidRDefault="009039E9" w:rsidP="009039E9">
            <w:pPr>
              <w:jc w:val="both"/>
              <w:rPr>
                <w:rFonts w:eastAsia="Calibri"/>
                <w:i/>
                <w:u w:val="single"/>
                <w:lang w:eastAsia="en-US"/>
              </w:rPr>
            </w:pPr>
            <w:r w:rsidRPr="009039E9">
              <w:rPr>
                <w:rFonts w:eastAsia="Calibri"/>
                <w:lang w:val="en-US" w:eastAsia="en-US"/>
              </w:rPr>
              <w:t>1</w:t>
            </w:r>
          </w:p>
        </w:tc>
      </w:tr>
      <w:tr w:rsidR="009039E9" w:rsidRPr="009039E9" w14:paraId="6728CD5B" w14:textId="77777777" w:rsidTr="001320EC">
        <w:trPr>
          <w:jc w:val="center"/>
        </w:trPr>
        <w:tc>
          <w:tcPr>
            <w:tcW w:w="552" w:type="dxa"/>
            <w:tcBorders>
              <w:top w:val="single" w:sz="6" w:space="0" w:color="auto"/>
              <w:left w:val="single" w:sz="6" w:space="0" w:color="auto"/>
              <w:bottom w:val="single" w:sz="6" w:space="0" w:color="auto"/>
              <w:right w:val="single" w:sz="6" w:space="0" w:color="auto"/>
            </w:tcBorders>
          </w:tcPr>
          <w:p w14:paraId="376BB83B" w14:textId="77777777" w:rsidR="009039E9" w:rsidRPr="009039E9" w:rsidRDefault="009039E9" w:rsidP="009039E9">
            <w:pPr>
              <w:jc w:val="both"/>
              <w:rPr>
                <w:rFonts w:eastAsia="Calibri"/>
                <w:i/>
                <w:lang w:eastAsia="en-US"/>
              </w:rPr>
            </w:pPr>
            <w:r w:rsidRPr="009039E9">
              <w:rPr>
                <w:rFonts w:eastAsia="Calibri"/>
                <w:i/>
                <w:lang w:eastAsia="en-US"/>
              </w:rPr>
              <w:t>4</w:t>
            </w:r>
          </w:p>
        </w:tc>
        <w:tc>
          <w:tcPr>
            <w:tcW w:w="6946" w:type="dxa"/>
            <w:tcBorders>
              <w:top w:val="single" w:sz="6" w:space="0" w:color="auto"/>
              <w:left w:val="single" w:sz="6" w:space="0" w:color="auto"/>
              <w:bottom w:val="single" w:sz="6" w:space="0" w:color="auto"/>
              <w:right w:val="single" w:sz="6" w:space="0" w:color="auto"/>
            </w:tcBorders>
            <w:vAlign w:val="center"/>
          </w:tcPr>
          <w:p w14:paraId="3A8779D7" w14:textId="77777777" w:rsidR="009039E9" w:rsidRPr="009039E9" w:rsidRDefault="009039E9" w:rsidP="009039E9">
            <w:pPr>
              <w:jc w:val="both"/>
              <w:rPr>
                <w:rFonts w:eastAsia="Calibri"/>
                <w:i/>
                <w:lang w:eastAsia="en-US"/>
              </w:rPr>
            </w:pPr>
            <w:r w:rsidRPr="009039E9">
              <w:rPr>
                <w:rFonts w:eastAsia="Calibri"/>
                <w:lang w:val="en-US" w:eastAsia="en-US"/>
              </w:rPr>
              <w:t>Véhicule pickup</w:t>
            </w:r>
          </w:p>
        </w:tc>
        <w:tc>
          <w:tcPr>
            <w:tcW w:w="1276" w:type="dxa"/>
            <w:tcBorders>
              <w:top w:val="single" w:sz="6" w:space="0" w:color="auto"/>
              <w:left w:val="single" w:sz="6" w:space="0" w:color="auto"/>
              <w:bottom w:val="single" w:sz="6" w:space="0" w:color="auto"/>
              <w:right w:val="single" w:sz="6" w:space="0" w:color="auto"/>
            </w:tcBorders>
            <w:vAlign w:val="center"/>
          </w:tcPr>
          <w:p w14:paraId="7A59EEBD" w14:textId="77777777" w:rsidR="009039E9" w:rsidRPr="009039E9" w:rsidRDefault="009039E9" w:rsidP="009039E9">
            <w:pPr>
              <w:jc w:val="both"/>
              <w:rPr>
                <w:rFonts w:eastAsia="Calibri"/>
                <w:i/>
                <w:u w:val="single"/>
                <w:lang w:eastAsia="en-US"/>
              </w:rPr>
            </w:pPr>
            <w:r w:rsidRPr="009039E9">
              <w:rPr>
                <w:rFonts w:eastAsia="Calibri"/>
                <w:lang w:val="en-US" w:eastAsia="en-US"/>
              </w:rPr>
              <w:t>2</w:t>
            </w:r>
          </w:p>
        </w:tc>
      </w:tr>
      <w:tr w:rsidR="009039E9" w:rsidRPr="009039E9" w14:paraId="1490008B" w14:textId="77777777" w:rsidTr="001320EC">
        <w:trPr>
          <w:jc w:val="center"/>
        </w:trPr>
        <w:tc>
          <w:tcPr>
            <w:tcW w:w="552" w:type="dxa"/>
            <w:tcBorders>
              <w:top w:val="single" w:sz="6" w:space="0" w:color="auto"/>
              <w:left w:val="single" w:sz="6" w:space="0" w:color="auto"/>
              <w:bottom w:val="single" w:sz="6" w:space="0" w:color="auto"/>
              <w:right w:val="single" w:sz="6" w:space="0" w:color="auto"/>
            </w:tcBorders>
          </w:tcPr>
          <w:p w14:paraId="235B1046" w14:textId="77777777" w:rsidR="009039E9" w:rsidRPr="009039E9" w:rsidRDefault="009039E9" w:rsidP="009039E9">
            <w:pPr>
              <w:jc w:val="both"/>
              <w:rPr>
                <w:rFonts w:eastAsia="Calibri"/>
                <w:i/>
                <w:u w:val="single"/>
                <w:lang w:eastAsia="en-US"/>
              </w:rPr>
            </w:pPr>
            <w:r w:rsidRPr="009039E9">
              <w:rPr>
                <w:rFonts w:eastAsia="Calibri"/>
                <w:i/>
                <w:u w:val="single"/>
                <w:lang w:eastAsia="en-US"/>
              </w:rPr>
              <w:t>5</w:t>
            </w:r>
          </w:p>
        </w:tc>
        <w:tc>
          <w:tcPr>
            <w:tcW w:w="6946" w:type="dxa"/>
            <w:tcBorders>
              <w:top w:val="single" w:sz="6" w:space="0" w:color="auto"/>
              <w:left w:val="single" w:sz="6" w:space="0" w:color="auto"/>
              <w:bottom w:val="single" w:sz="6" w:space="0" w:color="auto"/>
              <w:right w:val="single" w:sz="6" w:space="0" w:color="auto"/>
            </w:tcBorders>
            <w:vAlign w:val="center"/>
          </w:tcPr>
          <w:p w14:paraId="778C1CB3" w14:textId="77777777" w:rsidR="009039E9" w:rsidRPr="009039E9" w:rsidRDefault="009039E9" w:rsidP="009039E9">
            <w:pPr>
              <w:jc w:val="both"/>
              <w:rPr>
                <w:rFonts w:eastAsia="Calibri"/>
                <w:i/>
                <w:lang w:eastAsia="en-US"/>
              </w:rPr>
            </w:pPr>
            <w:r w:rsidRPr="009039E9">
              <w:rPr>
                <w:rFonts w:eastAsia="Calibri"/>
                <w:lang w:val="en-US" w:eastAsia="en-US"/>
              </w:rPr>
              <w:t>Camion 10 t</w:t>
            </w:r>
          </w:p>
        </w:tc>
        <w:tc>
          <w:tcPr>
            <w:tcW w:w="1276" w:type="dxa"/>
            <w:tcBorders>
              <w:top w:val="single" w:sz="6" w:space="0" w:color="auto"/>
              <w:left w:val="single" w:sz="6" w:space="0" w:color="auto"/>
              <w:bottom w:val="single" w:sz="6" w:space="0" w:color="auto"/>
              <w:right w:val="single" w:sz="6" w:space="0" w:color="auto"/>
            </w:tcBorders>
            <w:vAlign w:val="center"/>
          </w:tcPr>
          <w:p w14:paraId="553605F9" w14:textId="77777777" w:rsidR="009039E9" w:rsidRPr="009039E9" w:rsidRDefault="009039E9" w:rsidP="009039E9">
            <w:pPr>
              <w:jc w:val="both"/>
              <w:rPr>
                <w:rFonts w:eastAsia="Calibri"/>
                <w:i/>
                <w:u w:val="single"/>
                <w:lang w:eastAsia="en-US"/>
              </w:rPr>
            </w:pPr>
            <w:r w:rsidRPr="009039E9">
              <w:rPr>
                <w:rFonts w:eastAsia="Calibri"/>
                <w:lang w:val="en-US" w:eastAsia="en-US"/>
              </w:rPr>
              <w:t>1</w:t>
            </w:r>
          </w:p>
        </w:tc>
      </w:tr>
      <w:tr w:rsidR="009039E9" w:rsidRPr="009039E9" w14:paraId="5779CF72" w14:textId="77777777" w:rsidTr="001320EC">
        <w:trPr>
          <w:jc w:val="center"/>
        </w:trPr>
        <w:tc>
          <w:tcPr>
            <w:tcW w:w="552" w:type="dxa"/>
            <w:tcBorders>
              <w:top w:val="single" w:sz="6" w:space="0" w:color="auto"/>
              <w:left w:val="single" w:sz="6" w:space="0" w:color="auto"/>
              <w:bottom w:val="single" w:sz="6" w:space="0" w:color="auto"/>
              <w:right w:val="single" w:sz="6" w:space="0" w:color="auto"/>
            </w:tcBorders>
          </w:tcPr>
          <w:p w14:paraId="73719B3A" w14:textId="77777777" w:rsidR="009039E9" w:rsidRPr="009039E9" w:rsidRDefault="009039E9" w:rsidP="009039E9">
            <w:pPr>
              <w:jc w:val="both"/>
              <w:rPr>
                <w:rFonts w:eastAsia="Calibri"/>
                <w:i/>
                <w:lang w:eastAsia="en-US"/>
              </w:rPr>
            </w:pPr>
            <w:r w:rsidRPr="009039E9">
              <w:rPr>
                <w:rFonts w:eastAsia="Calibri"/>
                <w:i/>
                <w:lang w:eastAsia="en-US"/>
              </w:rPr>
              <w:t>6</w:t>
            </w:r>
          </w:p>
        </w:tc>
        <w:tc>
          <w:tcPr>
            <w:tcW w:w="6946" w:type="dxa"/>
            <w:tcBorders>
              <w:top w:val="single" w:sz="6" w:space="0" w:color="auto"/>
              <w:left w:val="single" w:sz="6" w:space="0" w:color="auto"/>
              <w:bottom w:val="single" w:sz="6" w:space="0" w:color="auto"/>
              <w:right w:val="single" w:sz="6" w:space="0" w:color="auto"/>
            </w:tcBorders>
            <w:vAlign w:val="center"/>
          </w:tcPr>
          <w:p w14:paraId="685CEBE4" w14:textId="77777777" w:rsidR="009039E9" w:rsidRPr="009039E9" w:rsidRDefault="009039E9" w:rsidP="009039E9">
            <w:pPr>
              <w:jc w:val="both"/>
              <w:rPr>
                <w:rFonts w:eastAsia="Calibri"/>
                <w:i/>
                <w:lang w:eastAsia="en-US"/>
              </w:rPr>
            </w:pPr>
            <w:r w:rsidRPr="009039E9">
              <w:rPr>
                <w:rFonts w:eastAsia="Calibri"/>
                <w:lang w:val="en-US" w:eastAsia="en-US"/>
              </w:rPr>
              <w:t>Camion Grue mobile</w:t>
            </w:r>
          </w:p>
        </w:tc>
        <w:tc>
          <w:tcPr>
            <w:tcW w:w="1276" w:type="dxa"/>
            <w:tcBorders>
              <w:top w:val="single" w:sz="6" w:space="0" w:color="auto"/>
              <w:left w:val="single" w:sz="6" w:space="0" w:color="auto"/>
              <w:bottom w:val="single" w:sz="6" w:space="0" w:color="auto"/>
              <w:right w:val="single" w:sz="6" w:space="0" w:color="auto"/>
            </w:tcBorders>
            <w:vAlign w:val="center"/>
          </w:tcPr>
          <w:p w14:paraId="4FD2725A" w14:textId="77777777" w:rsidR="009039E9" w:rsidRPr="009039E9" w:rsidRDefault="009039E9" w:rsidP="009039E9">
            <w:pPr>
              <w:jc w:val="both"/>
              <w:rPr>
                <w:rFonts w:eastAsia="Calibri"/>
                <w:i/>
                <w:u w:val="single"/>
                <w:lang w:eastAsia="en-US"/>
              </w:rPr>
            </w:pPr>
            <w:r w:rsidRPr="009039E9">
              <w:rPr>
                <w:rFonts w:eastAsia="Calibri"/>
                <w:lang w:val="en-US" w:eastAsia="en-US"/>
              </w:rPr>
              <w:t>1</w:t>
            </w:r>
          </w:p>
        </w:tc>
      </w:tr>
      <w:tr w:rsidR="009039E9" w:rsidRPr="009039E9" w14:paraId="5BD9080D" w14:textId="77777777" w:rsidTr="001320EC">
        <w:trPr>
          <w:jc w:val="center"/>
        </w:trPr>
        <w:tc>
          <w:tcPr>
            <w:tcW w:w="552" w:type="dxa"/>
            <w:tcBorders>
              <w:top w:val="single" w:sz="6" w:space="0" w:color="auto"/>
              <w:left w:val="single" w:sz="6" w:space="0" w:color="auto"/>
              <w:bottom w:val="single" w:sz="6" w:space="0" w:color="auto"/>
              <w:right w:val="single" w:sz="6" w:space="0" w:color="auto"/>
            </w:tcBorders>
          </w:tcPr>
          <w:p w14:paraId="77181FB4" w14:textId="77777777" w:rsidR="009039E9" w:rsidRPr="009039E9" w:rsidRDefault="009039E9" w:rsidP="009039E9">
            <w:pPr>
              <w:jc w:val="both"/>
              <w:rPr>
                <w:rFonts w:eastAsia="Calibri"/>
                <w:i/>
                <w:lang w:eastAsia="en-US"/>
              </w:rPr>
            </w:pPr>
            <w:r w:rsidRPr="009039E9">
              <w:rPr>
                <w:rFonts w:eastAsia="Calibri"/>
                <w:i/>
                <w:lang w:eastAsia="en-US"/>
              </w:rPr>
              <w:t>7</w:t>
            </w:r>
          </w:p>
        </w:tc>
        <w:tc>
          <w:tcPr>
            <w:tcW w:w="6946" w:type="dxa"/>
            <w:tcBorders>
              <w:top w:val="single" w:sz="6" w:space="0" w:color="auto"/>
              <w:left w:val="single" w:sz="6" w:space="0" w:color="auto"/>
              <w:bottom w:val="single" w:sz="6" w:space="0" w:color="auto"/>
              <w:right w:val="single" w:sz="6" w:space="0" w:color="auto"/>
            </w:tcBorders>
            <w:vAlign w:val="center"/>
          </w:tcPr>
          <w:p w14:paraId="73852DAE" w14:textId="77777777" w:rsidR="009039E9" w:rsidRPr="009039E9" w:rsidRDefault="009039E9" w:rsidP="009039E9">
            <w:pPr>
              <w:jc w:val="both"/>
              <w:rPr>
                <w:rFonts w:eastAsia="Calibri"/>
                <w:i/>
                <w:lang w:eastAsia="en-US"/>
              </w:rPr>
            </w:pPr>
            <w:r w:rsidRPr="009039E9">
              <w:rPr>
                <w:rFonts w:eastAsia="Calibri"/>
                <w:lang w:val="en-US" w:eastAsia="en-US"/>
              </w:rPr>
              <w:t>Megger (</w:t>
            </w:r>
            <w:proofErr w:type="spellStart"/>
            <w:r w:rsidRPr="009039E9">
              <w:rPr>
                <w:rFonts w:eastAsia="Calibri"/>
                <w:lang w:val="en-US" w:eastAsia="en-US"/>
              </w:rPr>
              <w:t>mesure</w:t>
            </w:r>
            <w:proofErr w:type="spellEnd"/>
            <w:r w:rsidRPr="009039E9">
              <w:rPr>
                <w:rFonts w:eastAsia="Calibri"/>
                <w:lang w:val="en-US" w:eastAsia="en-US"/>
              </w:rPr>
              <w:t xml:space="preserve"> </w:t>
            </w:r>
            <w:proofErr w:type="spellStart"/>
            <w:r w:rsidRPr="009039E9">
              <w:rPr>
                <w:rFonts w:eastAsia="Calibri"/>
                <w:lang w:val="en-US" w:eastAsia="en-US"/>
              </w:rPr>
              <w:t>d’isolement</w:t>
            </w:r>
            <w:proofErr w:type="spellEnd"/>
            <w:r w:rsidRPr="009039E9">
              <w:rPr>
                <w:rFonts w:eastAsia="Calibri"/>
                <w:lang w:val="en-US" w:eastAsia="en-US"/>
              </w:rPr>
              <w:t>)</w:t>
            </w:r>
          </w:p>
        </w:tc>
        <w:tc>
          <w:tcPr>
            <w:tcW w:w="1276" w:type="dxa"/>
            <w:tcBorders>
              <w:top w:val="single" w:sz="6" w:space="0" w:color="auto"/>
              <w:left w:val="single" w:sz="6" w:space="0" w:color="auto"/>
              <w:bottom w:val="single" w:sz="6" w:space="0" w:color="auto"/>
              <w:right w:val="single" w:sz="6" w:space="0" w:color="auto"/>
            </w:tcBorders>
            <w:vAlign w:val="center"/>
          </w:tcPr>
          <w:p w14:paraId="57365EA0" w14:textId="77777777" w:rsidR="009039E9" w:rsidRPr="009039E9" w:rsidRDefault="009039E9" w:rsidP="009039E9">
            <w:pPr>
              <w:jc w:val="both"/>
              <w:rPr>
                <w:rFonts w:eastAsia="Calibri"/>
                <w:i/>
                <w:u w:val="single"/>
                <w:lang w:eastAsia="en-US"/>
              </w:rPr>
            </w:pPr>
            <w:r w:rsidRPr="009039E9">
              <w:rPr>
                <w:rFonts w:eastAsia="Calibri"/>
                <w:lang w:val="en-US" w:eastAsia="en-US"/>
              </w:rPr>
              <w:t>2</w:t>
            </w:r>
          </w:p>
        </w:tc>
      </w:tr>
      <w:tr w:rsidR="009039E9" w:rsidRPr="009039E9" w14:paraId="2988EBB9" w14:textId="77777777" w:rsidTr="001320EC">
        <w:trPr>
          <w:jc w:val="center"/>
        </w:trPr>
        <w:tc>
          <w:tcPr>
            <w:tcW w:w="552" w:type="dxa"/>
            <w:tcBorders>
              <w:top w:val="single" w:sz="6" w:space="0" w:color="auto"/>
              <w:left w:val="single" w:sz="6" w:space="0" w:color="auto"/>
              <w:bottom w:val="single" w:sz="6" w:space="0" w:color="auto"/>
              <w:right w:val="single" w:sz="6" w:space="0" w:color="auto"/>
            </w:tcBorders>
          </w:tcPr>
          <w:p w14:paraId="3016B217" w14:textId="77777777" w:rsidR="009039E9" w:rsidRPr="009039E9" w:rsidRDefault="009039E9" w:rsidP="009039E9">
            <w:pPr>
              <w:jc w:val="both"/>
              <w:rPr>
                <w:rFonts w:eastAsia="Calibri"/>
                <w:i/>
                <w:lang w:eastAsia="en-US"/>
              </w:rPr>
            </w:pPr>
            <w:r w:rsidRPr="009039E9">
              <w:rPr>
                <w:rFonts w:eastAsia="Calibri"/>
                <w:i/>
                <w:lang w:eastAsia="en-US"/>
              </w:rPr>
              <w:t>8</w:t>
            </w:r>
          </w:p>
        </w:tc>
        <w:tc>
          <w:tcPr>
            <w:tcW w:w="6946" w:type="dxa"/>
            <w:tcBorders>
              <w:top w:val="single" w:sz="6" w:space="0" w:color="auto"/>
              <w:left w:val="single" w:sz="6" w:space="0" w:color="auto"/>
              <w:bottom w:val="single" w:sz="6" w:space="0" w:color="auto"/>
              <w:right w:val="single" w:sz="6" w:space="0" w:color="auto"/>
            </w:tcBorders>
            <w:vAlign w:val="center"/>
          </w:tcPr>
          <w:p w14:paraId="71BAEE40" w14:textId="77777777" w:rsidR="009039E9" w:rsidRPr="009039E9" w:rsidRDefault="009039E9" w:rsidP="009039E9">
            <w:pPr>
              <w:jc w:val="both"/>
              <w:rPr>
                <w:rFonts w:eastAsia="Calibri"/>
                <w:i/>
                <w:lang w:eastAsia="en-US"/>
              </w:rPr>
            </w:pPr>
            <w:proofErr w:type="spellStart"/>
            <w:r w:rsidRPr="009039E9">
              <w:rPr>
                <w:rFonts w:eastAsia="Calibri"/>
                <w:lang w:val="en-US" w:eastAsia="en-US"/>
              </w:rPr>
              <w:t>Multimètre</w:t>
            </w:r>
            <w:proofErr w:type="spellEnd"/>
            <w:r w:rsidRPr="009039E9">
              <w:rPr>
                <w:rFonts w:eastAsia="Calibri"/>
                <w:lang w:val="en-US" w:eastAsia="en-US"/>
              </w:rPr>
              <w:t xml:space="preserve"> numérique</w:t>
            </w:r>
          </w:p>
        </w:tc>
        <w:tc>
          <w:tcPr>
            <w:tcW w:w="1276" w:type="dxa"/>
            <w:tcBorders>
              <w:top w:val="single" w:sz="6" w:space="0" w:color="auto"/>
              <w:left w:val="single" w:sz="6" w:space="0" w:color="auto"/>
              <w:bottom w:val="single" w:sz="6" w:space="0" w:color="auto"/>
              <w:right w:val="single" w:sz="6" w:space="0" w:color="auto"/>
            </w:tcBorders>
            <w:vAlign w:val="center"/>
          </w:tcPr>
          <w:p w14:paraId="2B52FB8C" w14:textId="77777777" w:rsidR="009039E9" w:rsidRPr="009039E9" w:rsidRDefault="009039E9" w:rsidP="009039E9">
            <w:pPr>
              <w:jc w:val="both"/>
              <w:rPr>
                <w:rFonts w:eastAsia="Calibri"/>
                <w:i/>
                <w:u w:val="single"/>
                <w:lang w:eastAsia="en-US"/>
              </w:rPr>
            </w:pPr>
            <w:r w:rsidRPr="009039E9">
              <w:rPr>
                <w:rFonts w:eastAsia="Calibri"/>
                <w:lang w:val="en-US" w:eastAsia="en-US"/>
              </w:rPr>
              <w:t>2</w:t>
            </w:r>
          </w:p>
        </w:tc>
      </w:tr>
      <w:tr w:rsidR="009039E9" w:rsidRPr="009039E9" w14:paraId="788022C1" w14:textId="77777777" w:rsidTr="001320EC">
        <w:trPr>
          <w:jc w:val="center"/>
        </w:trPr>
        <w:tc>
          <w:tcPr>
            <w:tcW w:w="552" w:type="dxa"/>
            <w:tcBorders>
              <w:top w:val="single" w:sz="6" w:space="0" w:color="auto"/>
              <w:left w:val="single" w:sz="6" w:space="0" w:color="auto"/>
              <w:bottom w:val="single" w:sz="6" w:space="0" w:color="auto"/>
              <w:right w:val="single" w:sz="6" w:space="0" w:color="auto"/>
            </w:tcBorders>
          </w:tcPr>
          <w:p w14:paraId="04C7E516" w14:textId="77777777" w:rsidR="009039E9" w:rsidRPr="009039E9" w:rsidRDefault="009039E9" w:rsidP="009039E9">
            <w:pPr>
              <w:jc w:val="both"/>
              <w:rPr>
                <w:rFonts w:eastAsia="Calibri"/>
                <w:i/>
                <w:lang w:eastAsia="en-US"/>
              </w:rPr>
            </w:pPr>
            <w:r w:rsidRPr="009039E9">
              <w:rPr>
                <w:rFonts w:eastAsia="Calibri"/>
                <w:i/>
                <w:lang w:eastAsia="en-US"/>
              </w:rPr>
              <w:t>9</w:t>
            </w:r>
          </w:p>
        </w:tc>
        <w:tc>
          <w:tcPr>
            <w:tcW w:w="6946" w:type="dxa"/>
            <w:tcBorders>
              <w:top w:val="single" w:sz="6" w:space="0" w:color="auto"/>
              <w:left w:val="single" w:sz="6" w:space="0" w:color="auto"/>
              <w:bottom w:val="single" w:sz="6" w:space="0" w:color="auto"/>
              <w:right w:val="single" w:sz="6" w:space="0" w:color="auto"/>
            </w:tcBorders>
            <w:vAlign w:val="center"/>
          </w:tcPr>
          <w:p w14:paraId="03AC3E69" w14:textId="77777777" w:rsidR="009039E9" w:rsidRPr="009039E9" w:rsidRDefault="009039E9" w:rsidP="009039E9">
            <w:pPr>
              <w:jc w:val="both"/>
              <w:rPr>
                <w:rFonts w:eastAsia="Calibri"/>
                <w:i/>
                <w:lang w:eastAsia="en-US"/>
              </w:rPr>
            </w:pPr>
            <w:proofErr w:type="spellStart"/>
            <w:r w:rsidRPr="009039E9">
              <w:rPr>
                <w:rFonts w:eastAsia="Calibri"/>
                <w:lang w:val="en-US" w:eastAsia="en-US"/>
              </w:rPr>
              <w:t>Dérouleuse</w:t>
            </w:r>
            <w:proofErr w:type="spellEnd"/>
          </w:p>
        </w:tc>
        <w:tc>
          <w:tcPr>
            <w:tcW w:w="1276" w:type="dxa"/>
            <w:tcBorders>
              <w:top w:val="single" w:sz="6" w:space="0" w:color="auto"/>
              <w:left w:val="single" w:sz="6" w:space="0" w:color="auto"/>
              <w:bottom w:val="single" w:sz="6" w:space="0" w:color="auto"/>
              <w:right w:val="single" w:sz="6" w:space="0" w:color="auto"/>
            </w:tcBorders>
            <w:vAlign w:val="center"/>
          </w:tcPr>
          <w:p w14:paraId="01E2E537" w14:textId="77777777" w:rsidR="009039E9" w:rsidRPr="009039E9" w:rsidRDefault="009039E9" w:rsidP="009039E9">
            <w:pPr>
              <w:jc w:val="both"/>
              <w:rPr>
                <w:rFonts w:eastAsia="Calibri"/>
                <w:i/>
                <w:u w:val="single"/>
                <w:lang w:eastAsia="en-US"/>
              </w:rPr>
            </w:pPr>
            <w:r w:rsidRPr="009039E9">
              <w:rPr>
                <w:rFonts w:eastAsia="Calibri"/>
                <w:lang w:val="en-US" w:eastAsia="en-US"/>
              </w:rPr>
              <w:t>2</w:t>
            </w:r>
          </w:p>
        </w:tc>
      </w:tr>
      <w:tr w:rsidR="009039E9" w:rsidRPr="009039E9" w14:paraId="57284704" w14:textId="77777777" w:rsidTr="001320EC">
        <w:trPr>
          <w:jc w:val="center"/>
        </w:trPr>
        <w:tc>
          <w:tcPr>
            <w:tcW w:w="552" w:type="dxa"/>
            <w:tcBorders>
              <w:top w:val="single" w:sz="6" w:space="0" w:color="auto"/>
              <w:left w:val="single" w:sz="6" w:space="0" w:color="auto"/>
              <w:bottom w:val="single" w:sz="6" w:space="0" w:color="auto"/>
              <w:right w:val="single" w:sz="6" w:space="0" w:color="auto"/>
            </w:tcBorders>
          </w:tcPr>
          <w:p w14:paraId="66C233A9" w14:textId="77777777" w:rsidR="009039E9" w:rsidRPr="009039E9" w:rsidRDefault="009039E9" w:rsidP="009039E9">
            <w:pPr>
              <w:jc w:val="both"/>
              <w:rPr>
                <w:rFonts w:eastAsia="Calibri"/>
                <w:i/>
                <w:lang w:eastAsia="en-US"/>
              </w:rPr>
            </w:pPr>
            <w:r w:rsidRPr="009039E9">
              <w:rPr>
                <w:rFonts w:eastAsia="Calibri"/>
                <w:i/>
                <w:lang w:eastAsia="en-US"/>
              </w:rPr>
              <w:t>10</w:t>
            </w:r>
          </w:p>
        </w:tc>
        <w:tc>
          <w:tcPr>
            <w:tcW w:w="6946" w:type="dxa"/>
            <w:tcBorders>
              <w:top w:val="single" w:sz="6" w:space="0" w:color="auto"/>
              <w:left w:val="single" w:sz="6" w:space="0" w:color="auto"/>
              <w:bottom w:val="single" w:sz="6" w:space="0" w:color="auto"/>
              <w:right w:val="single" w:sz="6" w:space="0" w:color="auto"/>
            </w:tcBorders>
            <w:vAlign w:val="center"/>
          </w:tcPr>
          <w:p w14:paraId="4344BA61" w14:textId="77777777" w:rsidR="009039E9" w:rsidRPr="009039E9" w:rsidRDefault="009039E9" w:rsidP="009039E9">
            <w:pPr>
              <w:jc w:val="both"/>
              <w:rPr>
                <w:rFonts w:eastAsia="Calibri"/>
                <w:i/>
                <w:lang w:eastAsia="en-US"/>
              </w:rPr>
            </w:pPr>
            <w:proofErr w:type="spellStart"/>
            <w:r w:rsidRPr="009039E9">
              <w:rPr>
                <w:rFonts w:eastAsia="Calibri"/>
                <w:lang w:val="en-US" w:eastAsia="en-US"/>
              </w:rPr>
              <w:t>Bétonnière</w:t>
            </w:r>
            <w:proofErr w:type="spellEnd"/>
          </w:p>
        </w:tc>
        <w:tc>
          <w:tcPr>
            <w:tcW w:w="1276" w:type="dxa"/>
            <w:tcBorders>
              <w:top w:val="single" w:sz="6" w:space="0" w:color="auto"/>
              <w:left w:val="single" w:sz="6" w:space="0" w:color="auto"/>
              <w:bottom w:val="single" w:sz="6" w:space="0" w:color="auto"/>
              <w:right w:val="single" w:sz="6" w:space="0" w:color="auto"/>
            </w:tcBorders>
            <w:vAlign w:val="center"/>
          </w:tcPr>
          <w:p w14:paraId="3EAEE8DD" w14:textId="77777777" w:rsidR="009039E9" w:rsidRPr="009039E9" w:rsidRDefault="009039E9" w:rsidP="009039E9">
            <w:pPr>
              <w:jc w:val="both"/>
              <w:rPr>
                <w:rFonts w:eastAsia="Calibri"/>
                <w:i/>
                <w:u w:val="single"/>
                <w:lang w:eastAsia="en-US"/>
              </w:rPr>
            </w:pPr>
            <w:r w:rsidRPr="009039E9">
              <w:rPr>
                <w:rFonts w:eastAsia="Calibri"/>
                <w:lang w:val="en-US" w:eastAsia="en-US"/>
              </w:rPr>
              <w:t>1</w:t>
            </w:r>
          </w:p>
        </w:tc>
      </w:tr>
    </w:tbl>
    <w:p w14:paraId="41848713" w14:textId="77777777" w:rsidR="00B82EC9" w:rsidRPr="00B82EC9" w:rsidRDefault="00B82EC9" w:rsidP="009039E9">
      <w:pPr>
        <w:spacing w:after="120"/>
        <w:jc w:val="both"/>
        <w:rPr>
          <w:rFonts w:eastAsia="Calibri"/>
          <w:b/>
          <w:bCs/>
          <w:i/>
          <w:iCs/>
          <w:sz w:val="2"/>
          <w:szCs w:val="2"/>
          <w:lang w:eastAsia="en-US"/>
        </w:rPr>
      </w:pPr>
    </w:p>
    <w:p w14:paraId="14F493F1" w14:textId="7B1075CF" w:rsidR="009039E9" w:rsidRPr="009039E9" w:rsidRDefault="009039E9" w:rsidP="009039E9">
      <w:pPr>
        <w:spacing w:after="120"/>
        <w:jc w:val="both"/>
        <w:rPr>
          <w:rFonts w:eastAsia="Calibri"/>
          <w:b/>
          <w:bCs/>
          <w:i/>
          <w:iCs/>
          <w:lang w:eastAsia="en-US"/>
        </w:rPr>
      </w:pPr>
      <w:r w:rsidRPr="009039E9">
        <w:rPr>
          <w:rFonts w:eastAsia="Calibri"/>
          <w:b/>
          <w:bCs/>
          <w:i/>
          <w:iCs/>
          <w:lang w:eastAsia="en-US"/>
        </w:rPr>
        <w:t>NB :</w:t>
      </w:r>
      <w:r w:rsidRPr="009039E9">
        <w:rPr>
          <w:rFonts w:eastAsia="Calibri"/>
          <w:b/>
          <w:bCs/>
          <w:i/>
          <w:iCs/>
          <w:lang w:eastAsia="en-US"/>
        </w:rPr>
        <w:tab/>
        <w:t xml:space="preserve"> Le matériel propriété de l’entreprise ou du groupement d’entreprises doit être justifié par un titre de propriété (cartes grises pour les véhicules et factures d’achat pour les dérouleuses, etc…).</w:t>
      </w:r>
    </w:p>
    <w:p w14:paraId="05DC4EE2" w14:textId="5F58256F" w:rsidR="009039E9" w:rsidRPr="009039E9" w:rsidRDefault="009039E9" w:rsidP="009039E9">
      <w:pPr>
        <w:spacing w:after="120"/>
        <w:jc w:val="both"/>
        <w:rPr>
          <w:rFonts w:eastAsia="Calibri"/>
          <w:b/>
          <w:bCs/>
          <w:i/>
          <w:iCs/>
          <w:lang w:eastAsia="en-US"/>
        </w:rPr>
      </w:pPr>
      <w:r w:rsidRPr="009039E9">
        <w:rPr>
          <w:rFonts w:eastAsia="Calibri"/>
          <w:b/>
          <w:bCs/>
          <w:i/>
          <w:iCs/>
          <w:lang w:eastAsia="en-US"/>
        </w:rPr>
        <w:lastRenderedPageBreak/>
        <w:t>Un contrat de location du matériel sera exigé pour le matériel en location. Les copies des cartes grises des véhicules sollicités devront être jointes au contrat de location de ces véhicules. Le matériel loué doit être au nom du loueur.</w:t>
      </w:r>
    </w:p>
    <w:p w14:paraId="6FCAEEC5" w14:textId="53A10C1C" w:rsidR="009039E9" w:rsidRPr="009039E9" w:rsidRDefault="009039E9" w:rsidP="009039E9">
      <w:pPr>
        <w:spacing w:after="120"/>
        <w:jc w:val="both"/>
        <w:rPr>
          <w:rFonts w:eastAsia="Calibri"/>
          <w:b/>
          <w:bCs/>
          <w:i/>
          <w:iCs/>
          <w:lang w:eastAsia="en-US"/>
        </w:rPr>
      </w:pPr>
      <w:r w:rsidRPr="009039E9">
        <w:rPr>
          <w:rFonts w:eastAsia="Calibri"/>
          <w:b/>
          <w:bCs/>
          <w:i/>
          <w:iCs/>
          <w:lang w:eastAsia="en-US"/>
        </w:rPr>
        <w:t>En cas de location, la commission se réserve le droit de vérifier l’authenticité de la pièce et de s’assurer de la mise à disposition du matériel en temps voulu.</w:t>
      </w:r>
    </w:p>
    <w:p w14:paraId="5736DE05" w14:textId="77777777" w:rsidR="009039E9" w:rsidRPr="009039E9" w:rsidRDefault="009039E9" w:rsidP="00B82EC9">
      <w:pPr>
        <w:jc w:val="both"/>
        <w:rPr>
          <w:rFonts w:eastAsia="Calibri"/>
          <w:b/>
          <w:bCs/>
          <w:i/>
          <w:iCs/>
          <w:lang w:eastAsia="en-US"/>
        </w:rPr>
      </w:pPr>
      <w:r w:rsidRPr="009039E9">
        <w:rPr>
          <w:rFonts w:eastAsia="Calibri"/>
          <w:b/>
          <w:bCs/>
          <w:i/>
          <w:iCs/>
          <w:lang w:eastAsia="en-US"/>
        </w:rPr>
        <w:t>La liste du matériel est celle exigée pour chacun des lots 1 à 5, le soumissionnaire devra fournir pour chacun de ces lots auxquels il soumissionne la liste du matériel affecté.</w:t>
      </w:r>
    </w:p>
    <w:p w14:paraId="6EF059BA" w14:textId="77777777" w:rsidR="009039E9" w:rsidRPr="009039E9" w:rsidRDefault="009039E9" w:rsidP="009039E9">
      <w:pPr>
        <w:jc w:val="both"/>
        <w:rPr>
          <w:rFonts w:eastAsia="Calibri"/>
          <w:lang w:eastAsia="en-US"/>
        </w:rPr>
      </w:pPr>
    </w:p>
    <w:p w14:paraId="15AF34B3" w14:textId="77777777" w:rsidR="009039E9" w:rsidRPr="009039E9" w:rsidRDefault="009039E9" w:rsidP="009039E9">
      <w:pPr>
        <w:numPr>
          <w:ilvl w:val="0"/>
          <w:numId w:val="13"/>
        </w:numPr>
        <w:spacing w:after="120" w:line="276" w:lineRule="auto"/>
        <w:jc w:val="both"/>
        <w:rPr>
          <w:rFonts w:eastAsia="Calibri"/>
          <w:lang w:eastAsia="en-US"/>
        </w:rPr>
      </w:pPr>
      <w:proofErr w:type="gramStart"/>
      <w:r w:rsidRPr="009039E9">
        <w:rPr>
          <w:rFonts w:eastAsia="Calibri"/>
          <w:lang w:eastAsia="en-US"/>
        </w:rPr>
        <w:t>la</w:t>
      </w:r>
      <w:proofErr w:type="gramEnd"/>
      <w:r w:rsidRPr="009039E9">
        <w:rPr>
          <w:rFonts w:eastAsia="Calibri"/>
          <w:lang w:eastAsia="en-US"/>
        </w:rPr>
        <w:t xml:space="preserve"> mention des techniciens ou des organismes techniques dont dispose l’opérateur économique, qu’ils soient ou non intégrés à lui, en particulier de ceux qui sont responsables du contrôle de la qualité ;</w:t>
      </w:r>
    </w:p>
    <w:p w14:paraId="7D8581E1" w14:textId="77777777" w:rsidR="009039E9" w:rsidRPr="009039E9" w:rsidRDefault="009039E9" w:rsidP="009039E9">
      <w:pPr>
        <w:numPr>
          <w:ilvl w:val="0"/>
          <w:numId w:val="13"/>
        </w:numPr>
        <w:spacing w:after="120" w:line="276" w:lineRule="auto"/>
        <w:jc w:val="both"/>
        <w:rPr>
          <w:rFonts w:eastAsia="Calibri"/>
          <w:lang w:eastAsia="en-US"/>
        </w:rPr>
      </w:pPr>
      <w:proofErr w:type="gramStart"/>
      <w:r w:rsidRPr="009039E9">
        <w:rPr>
          <w:rFonts w:eastAsia="Calibri"/>
          <w:lang w:eastAsia="en-US"/>
        </w:rPr>
        <w:t>une</w:t>
      </w:r>
      <w:proofErr w:type="gramEnd"/>
      <w:r w:rsidRPr="009039E9">
        <w:rPr>
          <w:rFonts w:eastAsia="Calibri"/>
          <w:lang w:eastAsia="en-US"/>
        </w:rPr>
        <w:t xml:space="preserve"> déclaration indiquant les effectifs moyens annuels de l’opérateur économique et l’importance de son personnel d’encadrement pendant les trois dernières années ;</w:t>
      </w:r>
    </w:p>
    <w:p w14:paraId="05D48030" w14:textId="77777777" w:rsidR="009039E9" w:rsidRPr="009039E9" w:rsidRDefault="009039E9" w:rsidP="009039E9">
      <w:pPr>
        <w:numPr>
          <w:ilvl w:val="0"/>
          <w:numId w:val="13"/>
        </w:numPr>
        <w:spacing w:after="120" w:line="276" w:lineRule="auto"/>
        <w:jc w:val="both"/>
        <w:rPr>
          <w:rFonts w:eastAsia="Calibri"/>
          <w:lang w:eastAsia="en-US"/>
        </w:rPr>
      </w:pPr>
      <w:proofErr w:type="gramStart"/>
      <w:r w:rsidRPr="009039E9">
        <w:rPr>
          <w:rFonts w:eastAsia="Calibri"/>
          <w:lang w:eastAsia="en-US"/>
        </w:rPr>
        <w:t>l’indication</w:t>
      </w:r>
      <w:proofErr w:type="gramEnd"/>
      <w:r w:rsidRPr="009039E9">
        <w:rPr>
          <w:rFonts w:eastAsia="Calibri"/>
          <w:lang w:eastAsia="en-US"/>
        </w:rPr>
        <w:t xml:space="preserve"> des systèmes de gestion et de suivi de la chaîne d’approvisionnement que l’opérateur économique pourra mettre en œuvre lors de l’exécution du marché ;</w:t>
      </w:r>
    </w:p>
    <w:p w14:paraId="44467732" w14:textId="77777777" w:rsidR="009039E9" w:rsidRPr="009039E9" w:rsidRDefault="009039E9" w:rsidP="009039E9">
      <w:pPr>
        <w:numPr>
          <w:ilvl w:val="0"/>
          <w:numId w:val="13"/>
        </w:numPr>
        <w:spacing w:after="120" w:line="276" w:lineRule="auto"/>
        <w:jc w:val="both"/>
        <w:rPr>
          <w:rFonts w:eastAsia="Calibri"/>
          <w:lang w:eastAsia="en-US"/>
        </w:rPr>
      </w:pPr>
      <w:proofErr w:type="gramStart"/>
      <w:r w:rsidRPr="009039E9">
        <w:rPr>
          <w:rFonts w:eastAsia="Calibri"/>
          <w:lang w:eastAsia="en-US"/>
        </w:rPr>
        <w:t>l’indication</w:t>
      </w:r>
      <w:proofErr w:type="gramEnd"/>
      <w:r w:rsidRPr="009039E9">
        <w:rPr>
          <w:rFonts w:eastAsia="Calibri"/>
          <w:lang w:eastAsia="en-US"/>
        </w:rPr>
        <w:t xml:space="preserve"> des mesures de gestion environnementale que l’opérateur économique pourra appliquer lors de l’exécution du marché.</w:t>
      </w:r>
    </w:p>
    <w:p w14:paraId="5E57971F" w14:textId="77777777" w:rsidR="009039E9" w:rsidRPr="009039E9" w:rsidRDefault="009039E9" w:rsidP="009039E9">
      <w:pPr>
        <w:spacing w:after="120" w:line="276" w:lineRule="auto"/>
        <w:jc w:val="both"/>
        <w:rPr>
          <w:rFonts w:eastAsia="Calibri"/>
          <w:lang w:eastAsia="en-US"/>
        </w:rPr>
      </w:pPr>
      <w:r w:rsidRPr="009039E9">
        <w:rPr>
          <w:rFonts w:eastAsia="Calibri"/>
          <w:lang w:eastAsia="en-US"/>
        </w:rPr>
        <w:t>Il convient d’examiner les pièces justificatives qui doivent être sollicitées pour chaque critère de sélection.</w:t>
      </w:r>
    </w:p>
    <w:p w14:paraId="614D77EC" w14:textId="77777777" w:rsidR="009039E9" w:rsidRPr="009039E9" w:rsidRDefault="009039E9" w:rsidP="009039E9">
      <w:pPr>
        <w:spacing w:after="200" w:line="276" w:lineRule="auto"/>
        <w:jc w:val="both"/>
        <w:rPr>
          <w:rFonts w:eastAsia="Calibri"/>
          <w:b/>
          <w:u w:val="single"/>
          <w:lang w:eastAsia="en-US"/>
        </w:rPr>
      </w:pPr>
      <w:r w:rsidRPr="009039E9">
        <w:rPr>
          <w:rFonts w:eastAsia="Calibri"/>
          <w:b/>
          <w:u w:val="single"/>
          <w:lang w:eastAsia="en-US"/>
        </w:rPr>
        <w:t>Capacité économique et financière du candidat</w:t>
      </w:r>
      <w:r w:rsidRPr="009039E9">
        <w:rPr>
          <w:rFonts w:eastAsia="Calibri"/>
          <w:b/>
          <w:lang w:eastAsia="en-US"/>
        </w:rPr>
        <w:t xml:space="preserve"> :</w:t>
      </w:r>
    </w:p>
    <w:p w14:paraId="73FE75A5" w14:textId="77777777" w:rsidR="009039E9" w:rsidRPr="009039E9" w:rsidRDefault="009039E9" w:rsidP="009039E9">
      <w:pPr>
        <w:spacing w:after="200" w:line="276" w:lineRule="auto"/>
        <w:jc w:val="both"/>
        <w:rPr>
          <w:rFonts w:eastAsia="Calibri"/>
          <w:b/>
          <w:bCs/>
          <w:lang w:eastAsia="en-US"/>
        </w:rPr>
      </w:pPr>
      <w:r w:rsidRPr="009039E9">
        <w:rPr>
          <w:rFonts w:eastAsia="Calibri"/>
          <w:lang w:eastAsia="en-US"/>
        </w:rPr>
        <w:t xml:space="preserve">Les soumissionnaires doivent fournir les états financiers </w:t>
      </w:r>
      <w:r w:rsidRPr="009039E9">
        <w:rPr>
          <w:rFonts w:eastAsia="Calibri"/>
          <w:b/>
          <w:bCs/>
          <w:lang w:eastAsia="en-US"/>
        </w:rPr>
        <w:t xml:space="preserve">des trois (03) dernières années (2021, 2022 et 2023) certifiés par un expert-comptable ou comptable. </w:t>
      </w:r>
    </w:p>
    <w:p w14:paraId="03F41DC7" w14:textId="77777777" w:rsidR="009039E9" w:rsidRPr="009039E9" w:rsidRDefault="009039E9" w:rsidP="009039E9">
      <w:pPr>
        <w:spacing w:after="200" w:line="276" w:lineRule="auto"/>
        <w:jc w:val="both"/>
        <w:rPr>
          <w:rFonts w:eastAsia="Calibri"/>
          <w:lang w:eastAsia="en-US"/>
        </w:rPr>
      </w:pPr>
      <w:r w:rsidRPr="009039E9">
        <w:rPr>
          <w:rFonts w:eastAsia="Calibri"/>
          <w:lang w:eastAsia="en-US"/>
        </w:rPr>
        <w:t xml:space="preserve">Le chiffre d'affaires annuel moyen du soumissionnaire au cours des trois dernières années (2021, 2022 et 2023) doit être égal au moins à : </w:t>
      </w:r>
    </w:p>
    <w:p w14:paraId="4726FEE2" w14:textId="77777777" w:rsidR="009039E9" w:rsidRPr="009039E9" w:rsidRDefault="009039E9" w:rsidP="009039E9">
      <w:pPr>
        <w:numPr>
          <w:ilvl w:val="0"/>
          <w:numId w:val="15"/>
        </w:numPr>
        <w:tabs>
          <w:tab w:val="right" w:pos="7254"/>
        </w:tabs>
        <w:suppressAutoHyphens/>
        <w:overflowPunct w:val="0"/>
        <w:autoSpaceDE w:val="0"/>
        <w:autoSpaceDN w:val="0"/>
        <w:adjustRightInd w:val="0"/>
        <w:spacing w:after="200" w:line="276" w:lineRule="auto"/>
        <w:jc w:val="both"/>
        <w:textAlignment w:val="baseline"/>
        <w:rPr>
          <w:rFonts w:eastAsia="Calibri"/>
          <w:b/>
          <w:bCs/>
          <w:lang w:eastAsia="en-US"/>
        </w:rPr>
      </w:pPr>
      <w:bookmarkStart w:id="4" w:name="_Hlk180059387"/>
      <w:r w:rsidRPr="009039E9">
        <w:rPr>
          <w:rFonts w:eastAsia="Calibri"/>
          <w:b/>
          <w:bCs/>
          <w:i/>
          <w:iCs/>
          <w:lang w:eastAsia="en-US"/>
        </w:rPr>
        <w:t xml:space="preserve">Trois milliard cinq cents millions (3 500 000 000) Francs CFA pour le lot 1 ; </w:t>
      </w:r>
    </w:p>
    <w:p w14:paraId="3E0D08A8" w14:textId="77777777" w:rsidR="009039E9" w:rsidRPr="009039E9" w:rsidRDefault="009039E9" w:rsidP="009039E9">
      <w:pPr>
        <w:numPr>
          <w:ilvl w:val="0"/>
          <w:numId w:val="15"/>
        </w:numPr>
        <w:tabs>
          <w:tab w:val="right" w:pos="7254"/>
        </w:tabs>
        <w:suppressAutoHyphens/>
        <w:overflowPunct w:val="0"/>
        <w:autoSpaceDE w:val="0"/>
        <w:autoSpaceDN w:val="0"/>
        <w:adjustRightInd w:val="0"/>
        <w:spacing w:after="200" w:line="276" w:lineRule="auto"/>
        <w:jc w:val="both"/>
        <w:textAlignment w:val="baseline"/>
        <w:rPr>
          <w:rFonts w:eastAsia="Calibri"/>
          <w:b/>
          <w:bCs/>
          <w:lang w:eastAsia="en-US"/>
        </w:rPr>
      </w:pPr>
      <w:r w:rsidRPr="009039E9">
        <w:rPr>
          <w:rFonts w:eastAsia="Calibri"/>
          <w:b/>
          <w:bCs/>
          <w:i/>
          <w:iCs/>
          <w:lang w:eastAsia="en-US"/>
        </w:rPr>
        <w:t xml:space="preserve">Un milliard (1 000 0000 000) Francs CFA pour le lot 2 ;  </w:t>
      </w:r>
    </w:p>
    <w:p w14:paraId="1511E5BB" w14:textId="77777777" w:rsidR="009039E9" w:rsidRPr="009039E9" w:rsidRDefault="009039E9" w:rsidP="009039E9">
      <w:pPr>
        <w:numPr>
          <w:ilvl w:val="0"/>
          <w:numId w:val="15"/>
        </w:numPr>
        <w:tabs>
          <w:tab w:val="right" w:pos="7254"/>
        </w:tabs>
        <w:suppressAutoHyphens/>
        <w:overflowPunct w:val="0"/>
        <w:autoSpaceDE w:val="0"/>
        <w:autoSpaceDN w:val="0"/>
        <w:adjustRightInd w:val="0"/>
        <w:spacing w:after="200" w:line="276" w:lineRule="auto"/>
        <w:jc w:val="both"/>
        <w:textAlignment w:val="baseline"/>
        <w:rPr>
          <w:rFonts w:eastAsia="Calibri"/>
          <w:b/>
          <w:bCs/>
          <w:lang w:eastAsia="en-US"/>
        </w:rPr>
      </w:pPr>
      <w:r w:rsidRPr="009039E9">
        <w:rPr>
          <w:rFonts w:eastAsia="Calibri"/>
          <w:b/>
          <w:bCs/>
          <w:i/>
          <w:iCs/>
          <w:lang w:eastAsia="en-US"/>
        </w:rPr>
        <w:t xml:space="preserve">Un milliard (1 000 0000 000) Francs CFA pour le lot 3 ; </w:t>
      </w:r>
    </w:p>
    <w:p w14:paraId="6AA70276" w14:textId="77777777" w:rsidR="009039E9" w:rsidRPr="009039E9" w:rsidRDefault="009039E9" w:rsidP="009039E9">
      <w:pPr>
        <w:numPr>
          <w:ilvl w:val="0"/>
          <w:numId w:val="15"/>
        </w:numPr>
        <w:tabs>
          <w:tab w:val="right" w:pos="7254"/>
        </w:tabs>
        <w:suppressAutoHyphens/>
        <w:overflowPunct w:val="0"/>
        <w:autoSpaceDE w:val="0"/>
        <w:autoSpaceDN w:val="0"/>
        <w:adjustRightInd w:val="0"/>
        <w:spacing w:after="200" w:line="276" w:lineRule="auto"/>
        <w:jc w:val="both"/>
        <w:textAlignment w:val="baseline"/>
        <w:rPr>
          <w:rFonts w:eastAsia="Calibri"/>
          <w:b/>
          <w:bCs/>
          <w:lang w:eastAsia="en-US"/>
        </w:rPr>
      </w:pPr>
      <w:r w:rsidRPr="009039E9">
        <w:rPr>
          <w:rFonts w:eastAsia="Calibri"/>
          <w:b/>
          <w:bCs/>
          <w:i/>
          <w:iCs/>
          <w:lang w:eastAsia="en-US"/>
        </w:rPr>
        <w:t>Trois milliard cinq cents millions (3 500 000 000) Francs CFA pour le lot 4 ; </w:t>
      </w:r>
    </w:p>
    <w:p w14:paraId="2416464E" w14:textId="77777777" w:rsidR="009039E9" w:rsidRPr="009039E9" w:rsidRDefault="009039E9" w:rsidP="009039E9">
      <w:pPr>
        <w:numPr>
          <w:ilvl w:val="0"/>
          <w:numId w:val="15"/>
        </w:numPr>
        <w:tabs>
          <w:tab w:val="right" w:pos="7254"/>
        </w:tabs>
        <w:suppressAutoHyphens/>
        <w:overflowPunct w:val="0"/>
        <w:autoSpaceDE w:val="0"/>
        <w:autoSpaceDN w:val="0"/>
        <w:adjustRightInd w:val="0"/>
        <w:spacing w:after="200" w:line="276" w:lineRule="auto"/>
        <w:jc w:val="both"/>
        <w:textAlignment w:val="baseline"/>
        <w:rPr>
          <w:rFonts w:eastAsia="Calibri"/>
          <w:b/>
          <w:bCs/>
          <w:i/>
          <w:iCs/>
          <w:lang w:eastAsia="en-US"/>
        </w:rPr>
      </w:pPr>
      <w:r w:rsidRPr="009039E9">
        <w:rPr>
          <w:rFonts w:eastAsia="Calibri"/>
          <w:b/>
          <w:bCs/>
          <w:i/>
          <w:iCs/>
          <w:lang w:eastAsia="en-US"/>
        </w:rPr>
        <w:t>Six cent cinquante millions (650 000 000) Francs CFA pour le lot 5 ;</w:t>
      </w:r>
    </w:p>
    <w:p w14:paraId="0593E539" w14:textId="77777777" w:rsidR="009039E9" w:rsidRPr="009039E9" w:rsidRDefault="009039E9" w:rsidP="009039E9">
      <w:pPr>
        <w:numPr>
          <w:ilvl w:val="0"/>
          <w:numId w:val="15"/>
        </w:numPr>
        <w:spacing w:after="200" w:line="276" w:lineRule="auto"/>
        <w:contextualSpacing/>
        <w:rPr>
          <w:rFonts w:eastAsia="Calibri"/>
          <w:b/>
          <w:bCs/>
          <w:i/>
          <w:iCs/>
          <w:lang w:eastAsia="en-US"/>
        </w:rPr>
      </w:pPr>
      <w:r w:rsidRPr="009039E9">
        <w:rPr>
          <w:rFonts w:eastAsia="Calibri"/>
          <w:b/>
          <w:bCs/>
          <w:i/>
          <w:iCs/>
          <w:lang w:eastAsia="en-US"/>
        </w:rPr>
        <w:t>Trois cent cinquante millions (350 000 000) Francs CFA pour le lot 6.</w:t>
      </w:r>
    </w:p>
    <w:bookmarkEnd w:id="4"/>
    <w:p w14:paraId="6D982D30" w14:textId="77777777" w:rsidR="0043315A" w:rsidRDefault="0043315A" w:rsidP="0043315A">
      <w:pPr>
        <w:spacing w:line="276" w:lineRule="auto"/>
        <w:jc w:val="both"/>
        <w:rPr>
          <w:rFonts w:eastAsia="Calibri"/>
          <w:lang w:eastAsia="en-US"/>
        </w:rPr>
      </w:pPr>
    </w:p>
    <w:p w14:paraId="15CD68BE" w14:textId="1904F0D7" w:rsidR="009039E9" w:rsidRPr="009039E9" w:rsidRDefault="009039E9" w:rsidP="009039E9">
      <w:pPr>
        <w:spacing w:after="200" w:line="276" w:lineRule="auto"/>
        <w:jc w:val="both"/>
        <w:rPr>
          <w:rFonts w:eastAsia="Calibri"/>
          <w:lang w:eastAsia="en-US"/>
        </w:rPr>
      </w:pPr>
      <w:r w:rsidRPr="009039E9">
        <w:rPr>
          <w:rFonts w:eastAsia="Calibri"/>
          <w:lang w:eastAsia="en-US"/>
        </w:rPr>
        <w:t xml:space="preserve">Le soumissionnaire doit fournir </w:t>
      </w:r>
      <w:r w:rsidRPr="009039E9">
        <w:rPr>
          <w:rFonts w:eastAsia="Calibri"/>
          <w:b/>
          <w:bCs/>
          <w:u w:val="single"/>
          <w:lang w:eastAsia="en-US"/>
        </w:rPr>
        <w:t>une attestation de capacité financière</w:t>
      </w:r>
      <w:r w:rsidRPr="009039E9">
        <w:rPr>
          <w:rFonts w:eastAsia="Calibri"/>
          <w:lang w:eastAsia="en-US"/>
        </w:rPr>
        <w:t xml:space="preserve"> dont le montant est supérieur au montant de l’offre de chaque lot. </w:t>
      </w:r>
    </w:p>
    <w:p w14:paraId="0437FADF" w14:textId="77777777" w:rsidR="009039E9" w:rsidRPr="004E60A0" w:rsidRDefault="009039E9" w:rsidP="009039E9">
      <w:pPr>
        <w:spacing w:after="200" w:line="276" w:lineRule="auto"/>
        <w:jc w:val="both"/>
        <w:rPr>
          <w:rFonts w:eastAsia="Calibri"/>
          <w:b/>
          <w:i/>
          <w:iCs/>
          <w:lang w:eastAsia="en-US"/>
        </w:rPr>
      </w:pPr>
      <w:r w:rsidRPr="004E60A0">
        <w:rPr>
          <w:rFonts w:eastAsia="Calibri"/>
          <w:b/>
          <w:i/>
          <w:iCs/>
          <w:lang w:eastAsia="en-US"/>
        </w:rPr>
        <w:t>En cas de soumission en groupement d’entreprises, le groupement dans son ensemble devra satisfaire à 100 % des exigences de qualification. À cet effet, au moins un membre du groupement devra satisfaire à hauteur de quarante pour cent (40 %) desdites exigences, chaque membre devant individuellement justifier d’au moins vingt pour cent (20 %) des exigences spécifiées.</w:t>
      </w:r>
    </w:p>
    <w:p w14:paraId="729FF92D" w14:textId="77777777" w:rsidR="009039E9" w:rsidRPr="004E60A0" w:rsidRDefault="009039E9" w:rsidP="009039E9">
      <w:pPr>
        <w:spacing w:after="200" w:line="276" w:lineRule="auto"/>
        <w:jc w:val="both"/>
        <w:rPr>
          <w:rFonts w:eastAsia="Calibri"/>
          <w:b/>
          <w:bCs/>
          <w:i/>
          <w:iCs/>
          <w:lang w:eastAsia="en-US"/>
        </w:rPr>
      </w:pPr>
      <w:r w:rsidRPr="004E60A0">
        <w:rPr>
          <w:rFonts w:eastAsia="Calibri"/>
          <w:b/>
          <w:bCs/>
          <w:i/>
          <w:iCs/>
          <w:u w:val="single"/>
          <w:lang w:eastAsia="en-US"/>
        </w:rPr>
        <w:t>NB </w:t>
      </w:r>
      <w:r w:rsidRPr="004E60A0">
        <w:rPr>
          <w:rFonts w:eastAsia="Calibri"/>
          <w:i/>
          <w:iCs/>
          <w:lang w:eastAsia="en-US"/>
        </w:rPr>
        <w:t xml:space="preserve">: </w:t>
      </w:r>
      <w:r w:rsidRPr="004E60A0">
        <w:rPr>
          <w:rFonts w:eastAsia="Calibri"/>
          <w:b/>
          <w:bCs/>
          <w:i/>
          <w:iCs/>
          <w:lang w:eastAsia="en-US"/>
        </w:rPr>
        <w:t>Pour les entreprises nouvellement créées et qui sont dans l’impossibilité de fournir les états financiers des années 2021, 2022 et 2023, sont autorisées à prouver leurs capacités économiques par tout autre document substitutif distinct de l’attestation de capacité financière.</w:t>
      </w:r>
    </w:p>
    <w:p w14:paraId="7E272E14" w14:textId="77777777" w:rsidR="009039E9" w:rsidRPr="009039E9" w:rsidRDefault="009039E9" w:rsidP="009039E9">
      <w:pPr>
        <w:spacing w:after="200" w:line="276" w:lineRule="auto"/>
        <w:jc w:val="both"/>
        <w:rPr>
          <w:rFonts w:eastAsia="Calibri"/>
          <w:b/>
          <w:u w:val="single"/>
          <w:lang w:eastAsia="en-US"/>
        </w:rPr>
      </w:pPr>
      <w:r w:rsidRPr="009039E9">
        <w:rPr>
          <w:rFonts w:eastAsia="Calibri"/>
          <w:b/>
          <w:u w:val="single"/>
          <w:lang w:eastAsia="en-US"/>
        </w:rPr>
        <w:lastRenderedPageBreak/>
        <w:t>Capacité technique et professionnelle du candidat :</w:t>
      </w:r>
    </w:p>
    <w:p w14:paraId="401FA37C" w14:textId="77777777" w:rsidR="009039E9" w:rsidRPr="009039E9" w:rsidRDefault="009039E9" w:rsidP="009039E9">
      <w:pPr>
        <w:numPr>
          <w:ilvl w:val="0"/>
          <w:numId w:val="16"/>
        </w:numPr>
        <w:spacing w:after="200" w:line="276" w:lineRule="auto"/>
        <w:contextualSpacing/>
        <w:jc w:val="both"/>
        <w:rPr>
          <w:rFonts w:eastAsia="Calibri"/>
          <w:bCs/>
          <w:lang w:eastAsia="en-US"/>
        </w:rPr>
      </w:pPr>
      <w:r w:rsidRPr="009039E9">
        <w:rPr>
          <w:rFonts w:eastAsia="Calibri"/>
          <w:bCs/>
          <w:lang w:eastAsia="en-US"/>
        </w:rPr>
        <w:t>Expérience générale :</w:t>
      </w:r>
    </w:p>
    <w:p w14:paraId="18CFAD62" w14:textId="77777777" w:rsidR="009039E9" w:rsidRPr="009039E9" w:rsidRDefault="009039E9" w:rsidP="009039E9">
      <w:pPr>
        <w:spacing w:after="200" w:line="276" w:lineRule="auto"/>
        <w:jc w:val="both"/>
        <w:rPr>
          <w:rFonts w:eastAsia="Calibri"/>
          <w:bCs/>
          <w:lang w:eastAsia="en-US"/>
        </w:rPr>
      </w:pPr>
      <w:r w:rsidRPr="009039E9">
        <w:rPr>
          <w:rFonts w:eastAsia="Calibri"/>
          <w:bCs/>
          <w:lang w:eastAsia="en-US"/>
        </w:rPr>
        <w:t xml:space="preserve">Expérience de marchés dans le secteur de l’électricité à titre d’entrepreneur, de membre de groupement, de sous-traitant ou d’ensemblier au cours, des </w:t>
      </w:r>
      <w:r w:rsidRPr="009039E9">
        <w:rPr>
          <w:rFonts w:eastAsia="Calibri"/>
          <w:b/>
          <w:bCs/>
          <w:i/>
          <w:lang w:eastAsia="en-US"/>
        </w:rPr>
        <w:t xml:space="preserve">dix (10) </w:t>
      </w:r>
      <w:r w:rsidRPr="009039E9">
        <w:rPr>
          <w:rFonts w:eastAsia="Calibri"/>
          <w:bCs/>
          <w:lang w:eastAsia="en-US"/>
        </w:rPr>
        <w:t xml:space="preserve">dernières années à partir du 1er janvier de l’année </w:t>
      </w:r>
      <w:r w:rsidRPr="009039E9">
        <w:rPr>
          <w:rFonts w:eastAsia="Calibri"/>
          <w:b/>
          <w:bCs/>
          <w:lang w:eastAsia="en-US"/>
        </w:rPr>
        <w:t>2014</w:t>
      </w:r>
      <w:r w:rsidRPr="009039E9">
        <w:rPr>
          <w:rFonts w:eastAsia="Calibri"/>
          <w:bCs/>
          <w:lang w:eastAsia="en-US"/>
        </w:rPr>
        <w:t>.</w:t>
      </w:r>
    </w:p>
    <w:p w14:paraId="723B3A34" w14:textId="77777777" w:rsidR="009039E9" w:rsidRPr="00B82EC9" w:rsidRDefault="009039E9" w:rsidP="009039E9">
      <w:pPr>
        <w:numPr>
          <w:ilvl w:val="0"/>
          <w:numId w:val="16"/>
        </w:numPr>
        <w:spacing w:after="200" w:line="276" w:lineRule="auto"/>
        <w:contextualSpacing/>
        <w:jc w:val="both"/>
        <w:rPr>
          <w:rFonts w:eastAsia="Calibri"/>
          <w:b/>
          <w:lang w:eastAsia="en-US"/>
        </w:rPr>
      </w:pPr>
      <w:r w:rsidRPr="00B82EC9">
        <w:rPr>
          <w:rFonts w:eastAsia="Calibri"/>
          <w:b/>
          <w:lang w:eastAsia="en-US"/>
        </w:rPr>
        <w:t>Expérience spécifique (Lot 1 à 5)</w:t>
      </w:r>
    </w:p>
    <w:p w14:paraId="6534C02B" w14:textId="77777777" w:rsidR="009039E9" w:rsidRPr="009039E9" w:rsidRDefault="009039E9" w:rsidP="009039E9">
      <w:pPr>
        <w:spacing w:after="200" w:line="276" w:lineRule="auto"/>
        <w:ind w:left="720"/>
        <w:contextualSpacing/>
        <w:jc w:val="both"/>
        <w:rPr>
          <w:rFonts w:eastAsia="Calibri"/>
          <w:bCs/>
          <w:lang w:eastAsia="en-US"/>
        </w:rPr>
      </w:pPr>
    </w:p>
    <w:p w14:paraId="33BD2563" w14:textId="77777777" w:rsidR="009039E9" w:rsidRPr="008F3B4F" w:rsidRDefault="009039E9" w:rsidP="009039E9">
      <w:pPr>
        <w:numPr>
          <w:ilvl w:val="0"/>
          <w:numId w:val="18"/>
        </w:numPr>
        <w:spacing w:after="200" w:line="276" w:lineRule="auto"/>
        <w:contextualSpacing/>
        <w:jc w:val="both"/>
        <w:rPr>
          <w:rFonts w:eastAsia="Calibri"/>
          <w:bCs/>
          <w:lang w:eastAsia="en-US"/>
        </w:rPr>
      </w:pPr>
      <w:r w:rsidRPr="008F3B4F">
        <w:rPr>
          <w:rFonts w:eastAsia="Calibri"/>
          <w:bCs/>
          <w:lang w:eastAsia="en-US"/>
        </w:rPr>
        <w:t>Un nombre minimum de deux (02) marchés de nature similaire au marché d’Equipement et Services de Montage envisagé, spécifiés ci-dessous qui ont été achevés de manière satisfaisante et substantielle en tant que maître d’œuvre, membre d’un GE, entrepreneur de gestion ou sous-traitant entre le 1</w:t>
      </w:r>
      <w:r w:rsidRPr="008F3B4F">
        <w:rPr>
          <w:rFonts w:eastAsia="Calibri"/>
          <w:bCs/>
          <w:vertAlign w:val="superscript"/>
          <w:lang w:eastAsia="en-US"/>
        </w:rPr>
        <w:t>er</w:t>
      </w:r>
      <w:r w:rsidRPr="008F3B4F">
        <w:rPr>
          <w:rFonts w:eastAsia="Calibri"/>
          <w:bCs/>
          <w:lang w:eastAsia="en-US"/>
        </w:rPr>
        <w:t xml:space="preserve"> janvier 2014 et la date limite de dépôt des Offres.</w:t>
      </w:r>
    </w:p>
    <w:p w14:paraId="7A5012CA" w14:textId="77777777" w:rsidR="009039E9" w:rsidRPr="008F3B4F" w:rsidRDefault="009039E9" w:rsidP="00B82EC9">
      <w:pPr>
        <w:spacing w:after="200" w:line="276" w:lineRule="auto"/>
        <w:ind w:firstLine="708"/>
        <w:jc w:val="both"/>
        <w:rPr>
          <w:rFonts w:eastAsia="Calibri"/>
          <w:bCs/>
          <w:lang w:eastAsia="en-US"/>
        </w:rPr>
      </w:pPr>
      <w:r w:rsidRPr="008F3B4F">
        <w:rPr>
          <w:rFonts w:eastAsia="Calibri"/>
          <w:bCs/>
          <w:lang w:eastAsia="en-US"/>
        </w:rPr>
        <w:t xml:space="preserve">La similitude des marchés se fonde sur les éléments suivants : </w:t>
      </w:r>
    </w:p>
    <w:p w14:paraId="6CEDC8B0" w14:textId="77777777" w:rsidR="009039E9" w:rsidRPr="008F3B4F" w:rsidRDefault="009039E9" w:rsidP="009039E9">
      <w:pPr>
        <w:widowControl w:val="0"/>
        <w:tabs>
          <w:tab w:val="left" w:leader="dot" w:pos="8424"/>
        </w:tabs>
        <w:autoSpaceDE w:val="0"/>
        <w:autoSpaceDN w:val="0"/>
        <w:spacing w:after="120"/>
        <w:ind w:left="360"/>
        <w:jc w:val="both"/>
        <w:rPr>
          <w:b/>
          <w:bCs/>
          <w:iCs/>
          <w:u w:val="single"/>
          <w:lang w:eastAsia="en-US"/>
        </w:rPr>
      </w:pPr>
      <w:r w:rsidRPr="008F3B4F">
        <w:rPr>
          <w:b/>
          <w:bCs/>
          <w:iCs/>
          <w:u w:val="single"/>
          <w:lang w:eastAsia="en-US"/>
        </w:rPr>
        <w:t>Pour le Lot 1 et le lot 4 :</w:t>
      </w:r>
    </w:p>
    <w:p w14:paraId="79390B22" w14:textId="77777777" w:rsidR="009039E9" w:rsidRPr="008F3B4F" w:rsidRDefault="009039E9" w:rsidP="009039E9">
      <w:pPr>
        <w:widowControl w:val="0"/>
        <w:tabs>
          <w:tab w:val="left" w:leader="dot" w:pos="8424"/>
        </w:tabs>
        <w:autoSpaceDE w:val="0"/>
        <w:autoSpaceDN w:val="0"/>
        <w:spacing w:after="120"/>
        <w:jc w:val="both"/>
        <w:rPr>
          <w:iCs/>
          <w:lang w:eastAsia="en-US"/>
        </w:rPr>
      </w:pPr>
      <w:r w:rsidRPr="008F3B4F">
        <w:rPr>
          <w:iCs/>
          <w:lang w:eastAsia="en-US"/>
        </w:rPr>
        <w:t>Electrification rurale d’au moins 15 localités, construction d’au moins 80 km cumulé de réseaux moyenne et basse tension (MT/BT), dont au moins 50 km de réseau aérien MT, construction d’au moins 6 postes de distribution MT/BT, installation d’éclairage public ;</w:t>
      </w:r>
    </w:p>
    <w:p w14:paraId="1C6D19A8" w14:textId="77777777" w:rsidR="009039E9" w:rsidRPr="008F3B4F" w:rsidRDefault="009039E9" w:rsidP="009039E9">
      <w:pPr>
        <w:widowControl w:val="0"/>
        <w:tabs>
          <w:tab w:val="left" w:leader="dot" w:pos="8424"/>
        </w:tabs>
        <w:autoSpaceDE w:val="0"/>
        <w:autoSpaceDN w:val="0"/>
        <w:spacing w:after="120"/>
        <w:ind w:firstLine="426"/>
        <w:jc w:val="both"/>
        <w:rPr>
          <w:b/>
          <w:bCs/>
          <w:iCs/>
          <w:u w:val="single"/>
          <w:lang w:eastAsia="en-US"/>
        </w:rPr>
      </w:pPr>
      <w:r w:rsidRPr="008F3B4F">
        <w:rPr>
          <w:b/>
          <w:bCs/>
          <w:iCs/>
          <w:u w:val="single"/>
          <w:lang w:eastAsia="en-US"/>
        </w:rPr>
        <w:t>Pour le Lot 2 et le Lot 3 :</w:t>
      </w:r>
    </w:p>
    <w:p w14:paraId="207DF0B7" w14:textId="77777777" w:rsidR="009039E9" w:rsidRPr="008F3B4F" w:rsidRDefault="009039E9" w:rsidP="009039E9">
      <w:pPr>
        <w:widowControl w:val="0"/>
        <w:tabs>
          <w:tab w:val="left" w:leader="dot" w:pos="8424"/>
        </w:tabs>
        <w:autoSpaceDE w:val="0"/>
        <w:autoSpaceDN w:val="0"/>
        <w:spacing w:after="120"/>
        <w:jc w:val="both"/>
        <w:rPr>
          <w:iCs/>
          <w:lang w:eastAsia="en-US"/>
        </w:rPr>
      </w:pPr>
      <w:r w:rsidRPr="008F3B4F">
        <w:rPr>
          <w:iCs/>
          <w:lang w:eastAsia="en-US"/>
        </w:rPr>
        <w:t>Electrification rurale d’au moins 6 localités, construction d’au moins 50 km cumulé de réseaux moyenne et basse tension (MT/BT), dont au moins 25 km de réseau aérien MT, construction d’au moins 4 postes de distribution MT/BT, installation d’éclairage public ;</w:t>
      </w:r>
    </w:p>
    <w:p w14:paraId="1A88562E" w14:textId="77777777" w:rsidR="009039E9" w:rsidRPr="008F3B4F" w:rsidRDefault="009039E9" w:rsidP="009039E9">
      <w:pPr>
        <w:widowControl w:val="0"/>
        <w:tabs>
          <w:tab w:val="left" w:leader="dot" w:pos="8424"/>
        </w:tabs>
        <w:autoSpaceDE w:val="0"/>
        <w:autoSpaceDN w:val="0"/>
        <w:spacing w:after="120"/>
        <w:ind w:firstLine="426"/>
        <w:jc w:val="both"/>
        <w:rPr>
          <w:b/>
          <w:bCs/>
          <w:iCs/>
          <w:u w:val="single"/>
          <w:lang w:eastAsia="en-US"/>
        </w:rPr>
      </w:pPr>
      <w:r w:rsidRPr="008F3B4F">
        <w:rPr>
          <w:b/>
          <w:bCs/>
          <w:iCs/>
          <w:u w:val="single"/>
          <w:lang w:eastAsia="en-US"/>
        </w:rPr>
        <w:t>Pour le Lot 5 :</w:t>
      </w:r>
    </w:p>
    <w:p w14:paraId="7B5ED0F0" w14:textId="77777777" w:rsidR="009039E9" w:rsidRPr="008F3B4F" w:rsidRDefault="009039E9" w:rsidP="009039E9">
      <w:pPr>
        <w:widowControl w:val="0"/>
        <w:tabs>
          <w:tab w:val="left" w:leader="dot" w:pos="8424"/>
        </w:tabs>
        <w:autoSpaceDE w:val="0"/>
        <w:autoSpaceDN w:val="0"/>
        <w:spacing w:after="120"/>
        <w:jc w:val="both"/>
        <w:rPr>
          <w:iCs/>
          <w:lang w:eastAsia="en-US"/>
        </w:rPr>
      </w:pPr>
      <w:r w:rsidRPr="008F3B4F">
        <w:rPr>
          <w:iCs/>
          <w:lang w:eastAsia="en-US"/>
        </w:rPr>
        <w:t>Electrification rurale d’au moins 4 localités, construction d’au moins 30 km cumulé de réseaux moyenne et basse tension (MT/BT), dont au moins 18 km de réseau aérien MT construction d’au moins 3 postes de distribution MT/BT installation d’éclairage public.</w:t>
      </w:r>
    </w:p>
    <w:p w14:paraId="7F828A29" w14:textId="77777777" w:rsidR="009039E9" w:rsidRPr="009039E9" w:rsidRDefault="009039E9" w:rsidP="009039E9">
      <w:pPr>
        <w:spacing w:after="200" w:line="276" w:lineRule="auto"/>
        <w:jc w:val="both"/>
        <w:rPr>
          <w:rFonts w:eastAsia="Calibri"/>
          <w:b/>
          <w:sz w:val="22"/>
          <w:szCs w:val="22"/>
          <w:lang w:eastAsia="en-US"/>
        </w:rPr>
      </w:pPr>
      <w:r w:rsidRPr="009039E9">
        <w:rPr>
          <w:rFonts w:eastAsia="Calibri"/>
          <w:b/>
          <w:sz w:val="22"/>
          <w:szCs w:val="22"/>
          <w:lang w:eastAsia="en-US"/>
        </w:rPr>
        <w:t>NB : Les marchés en cours d’exécution ne seront pas pris en compte.</w:t>
      </w:r>
    </w:p>
    <w:p w14:paraId="4DFB3437" w14:textId="77777777" w:rsidR="009039E9" w:rsidRPr="008F3B4F" w:rsidRDefault="009039E9" w:rsidP="009039E9">
      <w:pPr>
        <w:numPr>
          <w:ilvl w:val="0"/>
          <w:numId w:val="18"/>
        </w:numPr>
        <w:spacing w:after="200" w:line="276" w:lineRule="auto"/>
        <w:contextualSpacing/>
        <w:jc w:val="both"/>
        <w:rPr>
          <w:rFonts w:eastAsia="Calibri"/>
          <w:bCs/>
          <w:lang w:eastAsia="en-US"/>
        </w:rPr>
      </w:pPr>
      <w:r w:rsidRPr="008F3B4F">
        <w:rPr>
          <w:rFonts w:eastAsia="Calibri"/>
          <w:bCs/>
          <w:lang w:eastAsia="en-US"/>
        </w:rPr>
        <w:t xml:space="preserve">Un nombre minimum de deux (02) marchés de construction d’infrastructures d’énergie électrique avec construction de réseau BT, HTA ou HTB d’envergure équivalente au marché d’Equipement et Services de Montage envisagé qui ont été achevés de manière satisfaisante et substantielle en tant que maître d’œuvre, membre d’un GE, entrepreneur de gestion ou sous-traitant entre le 1er janvier 2014 et la date limite de dépôt des Offres, d’un montant minimal de : </w:t>
      </w:r>
    </w:p>
    <w:p w14:paraId="390EFC6B" w14:textId="77777777" w:rsidR="009039E9" w:rsidRPr="004E60A0" w:rsidRDefault="009039E9" w:rsidP="009039E9">
      <w:pPr>
        <w:numPr>
          <w:ilvl w:val="0"/>
          <w:numId w:val="17"/>
        </w:numPr>
        <w:spacing w:after="200" w:line="276" w:lineRule="auto"/>
        <w:jc w:val="both"/>
        <w:rPr>
          <w:rFonts w:eastAsia="Calibri"/>
          <w:b/>
          <w:i/>
          <w:iCs/>
          <w:lang w:eastAsia="en-US"/>
        </w:rPr>
      </w:pPr>
      <w:r w:rsidRPr="004E60A0">
        <w:rPr>
          <w:rFonts w:eastAsia="Calibri"/>
          <w:b/>
          <w:i/>
          <w:iCs/>
          <w:lang w:eastAsia="en-US"/>
        </w:rPr>
        <w:t>Trois milliards six cents millions (3 600 000 000) Francs CFA pour le Lot 1 ;</w:t>
      </w:r>
    </w:p>
    <w:p w14:paraId="0EF677EE" w14:textId="77777777" w:rsidR="009039E9" w:rsidRPr="004E60A0" w:rsidRDefault="009039E9" w:rsidP="009039E9">
      <w:pPr>
        <w:numPr>
          <w:ilvl w:val="0"/>
          <w:numId w:val="17"/>
        </w:numPr>
        <w:spacing w:after="200" w:line="276" w:lineRule="auto"/>
        <w:jc w:val="both"/>
        <w:rPr>
          <w:rFonts w:eastAsia="Calibri"/>
          <w:b/>
          <w:i/>
          <w:iCs/>
          <w:lang w:eastAsia="en-US"/>
        </w:rPr>
      </w:pPr>
      <w:r w:rsidRPr="004E60A0">
        <w:rPr>
          <w:rFonts w:eastAsia="Calibri"/>
          <w:b/>
          <w:i/>
          <w:iCs/>
          <w:lang w:eastAsia="en-US"/>
        </w:rPr>
        <w:t>Un milliard deux cents (1 200 000 000) Francs CFA pour le lot 2 ;</w:t>
      </w:r>
    </w:p>
    <w:p w14:paraId="20639DE2" w14:textId="77777777" w:rsidR="009039E9" w:rsidRPr="004E60A0" w:rsidRDefault="009039E9" w:rsidP="009039E9">
      <w:pPr>
        <w:numPr>
          <w:ilvl w:val="0"/>
          <w:numId w:val="17"/>
        </w:numPr>
        <w:spacing w:after="200" w:line="276" w:lineRule="auto"/>
        <w:jc w:val="both"/>
        <w:rPr>
          <w:rFonts w:eastAsia="Calibri"/>
          <w:b/>
          <w:i/>
          <w:iCs/>
          <w:lang w:eastAsia="en-US"/>
        </w:rPr>
      </w:pPr>
      <w:r w:rsidRPr="004E60A0">
        <w:rPr>
          <w:rFonts w:eastAsia="Calibri"/>
          <w:b/>
          <w:i/>
          <w:iCs/>
          <w:lang w:eastAsia="en-US"/>
        </w:rPr>
        <w:t>Un milliard deux cents (1 200 000 000) Francs CFA pour le lot le lot 3 ;</w:t>
      </w:r>
    </w:p>
    <w:p w14:paraId="28ACB853" w14:textId="77777777" w:rsidR="009039E9" w:rsidRPr="004E60A0" w:rsidRDefault="009039E9" w:rsidP="009039E9">
      <w:pPr>
        <w:numPr>
          <w:ilvl w:val="0"/>
          <w:numId w:val="17"/>
        </w:numPr>
        <w:spacing w:after="200" w:line="276" w:lineRule="auto"/>
        <w:jc w:val="both"/>
        <w:rPr>
          <w:rFonts w:eastAsia="Calibri"/>
          <w:b/>
          <w:i/>
          <w:iCs/>
          <w:lang w:eastAsia="en-US"/>
        </w:rPr>
      </w:pPr>
      <w:r w:rsidRPr="004E60A0">
        <w:rPr>
          <w:rFonts w:eastAsia="Calibri"/>
          <w:b/>
          <w:i/>
          <w:iCs/>
          <w:lang w:eastAsia="en-US"/>
        </w:rPr>
        <w:t>Trois milliards six cents millions (3 600 000 000) Francs CFA pour le Lot 4 ;</w:t>
      </w:r>
    </w:p>
    <w:p w14:paraId="2468F86E" w14:textId="3C5C7F16" w:rsidR="00B82EC9" w:rsidRPr="004E60A0" w:rsidRDefault="009039E9" w:rsidP="00B82EC9">
      <w:pPr>
        <w:numPr>
          <w:ilvl w:val="0"/>
          <w:numId w:val="17"/>
        </w:numPr>
        <w:spacing w:after="200" w:line="276" w:lineRule="auto"/>
        <w:jc w:val="both"/>
        <w:rPr>
          <w:rFonts w:eastAsia="Calibri"/>
          <w:b/>
          <w:i/>
          <w:iCs/>
          <w:lang w:eastAsia="en-US"/>
        </w:rPr>
      </w:pPr>
      <w:r w:rsidRPr="004E60A0">
        <w:rPr>
          <w:rFonts w:eastAsia="Calibri"/>
          <w:b/>
          <w:i/>
          <w:iCs/>
          <w:lang w:eastAsia="en-US"/>
        </w:rPr>
        <w:t>Sept cents millions (700 000 000) Francs CFA pour le Lot 5.</w:t>
      </w:r>
    </w:p>
    <w:p w14:paraId="6F1765AB" w14:textId="77777777" w:rsidR="009039E9" w:rsidRPr="00B82EC9" w:rsidRDefault="009039E9" w:rsidP="009039E9">
      <w:pPr>
        <w:numPr>
          <w:ilvl w:val="0"/>
          <w:numId w:val="16"/>
        </w:numPr>
        <w:spacing w:after="200" w:line="276" w:lineRule="auto"/>
        <w:contextualSpacing/>
        <w:jc w:val="both"/>
        <w:rPr>
          <w:rFonts w:eastAsia="Calibri"/>
          <w:b/>
          <w:lang w:eastAsia="en-US"/>
        </w:rPr>
      </w:pPr>
      <w:r w:rsidRPr="00B82EC9">
        <w:rPr>
          <w:rFonts w:eastAsia="Calibri"/>
          <w:b/>
          <w:lang w:eastAsia="en-US"/>
        </w:rPr>
        <w:t>Expérience spécifique (Lot 6)</w:t>
      </w:r>
    </w:p>
    <w:p w14:paraId="0FBCB872" w14:textId="77777777" w:rsidR="008F3B4F" w:rsidRDefault="008F3B4F" w:rsidP="008F3B4F">
      <w:pPr>
        <w:jc w:val="both"/>
        <w:rPr>
          <w:rFonts w:eastAsia="Calibri"/>
          <w:b/>
          <w:sz w:val="22"/>
          <w:szCs w:val="22"/>
          <w:lang w:eastAsia="en-US"/>
        </w:rPr>
      </w:pPr>
    </w:p>
    <w:p w14:paraId="6FA440FD" w14:textId="5928DD40" w:rsidR="009039E9" w:rsidRPr="00B82EC9" w:rsidRDefault="009039E9" w:rsidP="009039E9">
      <w:pPr>
        <w:spacing w:after="200"/>
        <w:jc w:val="both"/>
        <w:rPr>
          <w:rFonts w:eastAsia="Calibri"/>
          <w:b/>
          <w:lang w:eastAsia="en-US"/>
        </w:rPr>
      </w:pPr>
      <w:r w:rsidRPr="00B82EC9">
        <w:rPr>
          <w:rFonts w:eastAsia="Calibri"/>
          <w:b/>
          <w:lang w:eastAsia="en-US"/>
        </w:rPr>
        <w:t>Un nombre minimal de deux (02) marchés de Fourniture et livraison de 3 300 kits de branchements à prépaiement (3 000 monophasés et 300 triphasés).</w:t>
      </w:r>
    </w:p>
    <w:p w14:paraId="0B5E0B18" w14:textId="77777777" w:rsidR="009039E9" w:rsidRPr="009039E9" w:rsidRDefault="009039E9" w:rsidP="009039E9">
      <w:pPr>
        <w:keepNext/>
        <w:widowControl w:val="0"/>
        <w:suppressAutoHyphens/>
        <w:spacing w:before="100" w:after="100"/>
        <w:jc w:val="both"/>
        <w:outlineLvl w:val="0"/>
        <w:rPr>
          <w:rFonts w:eastAsia="Calibri"/>
          <w:b/>
          <w:lang w:eastAsia="en-US"/>
        </w:rPr>
      </w:pPr>
      <w:r w:rsidRPr="009039E9">
        <w:rPr>
          <w:rFonts w:eastAsia="Calibri"/>
          <w:b/>
          <w:lang w:eastAsia="en-US"/>
        </w:rPr>
        <w:lastRenderedPageBreak/>
        <w:t>16. Critères d’attribution</w:t>
      </w:r>
    </w:p>
    <w:p w14:paraId="31DC61D3" w14:textId="77777777" w:rsidR="009039E9" w:rsidRPr="009039E9" w:rsidRDefault="009039E9" w:rsidP="009039E9">
      <w:pPr>
        <w:spacing w:after="200" w:line="276" w:lineRule="auto"/>
        <w:jc w:val="both"/>
        <w:rPr>
          <w:rFonts w:eastAsia="Calibri"/>
          <w:lang w:eastAsia="en-US"/>
        </w:rPr>
      </w:pPr>
      <w:r w:rsidRPr="009039E9">
        <w:rPr>
          <w:rFonts w:eastAsia="Calibri"/>
          <w:lang w:eastAsia="en-US"/>
        </w:rPr>
        <w:t xml:space="preserve">Le seul critère d'attribution sera le prix : l'offre économiquement la plus avantageuse est l'offre conforme aux exigences techniques dont le prix est le plus bas et n’excède pas le budget alloué aux travaux. </w:t>
      </w:r>
    </w:p>
    <w:p w14:paraId="6EA1A7C7" w14:textId="77777777" w:rsidR="009039E9" w:rsidRPr="009039E9" w:rsidRDefault="009039E9" w:rsidP="009039E9">
      <w:pPr>
        <w:spacing w:after="200" w:line="276" w:lineRule="auto"/>
        <w:jc w:val="both"/>
        <w:rPr>
          <w:rFonts w:eastAsia="Calibri"/>
          <w:lang w:eastAsia="en-US"/>
        </w:rPr>
      </w:pPr>
      <w:r w:rsidRPr="009039E9">
        <w:rPr>
          <w:rFonts w:eastAsia="Calibri"/>
          <w:lang w:eastAsia="en-US"/>
        </w:rPr>
        <w:t xml:space="preserve">Conformément aux dispositions en vigueur relatives à la préférence communautaire, une marge de préférence de </w:t>
      </w:r>
      <w:r w:rsidRPr="009039E9">
        <w:rPr>
          <w:rFonts w:eastAsia="Calibri"/>
          <w:b/>
          <w:bCs/>
          <w:i/>
          <w:iCs/>
          <w:lang w:eastAsia="en-US"/>
        </w:rPr>
        <w:t>dix pour cent (10 %)</w:t>
      </w:r>
      <w:r w:rsidRPr="009039E9">
        <w:rPr>
          <w:rFonts w:eastAsia="Calibri"/>
          <w:lang w:eastAsia="en-US"/>
        </w:rPr>
        <w:t xml:space="preserve"> sera accordée aux offres présentées par des entreprises ou entités ressortissantes de la communauté de l’UEMOA.</w:t>
      </w:r>
    </w:p>
    <w:p w14:paraId="4EA04F1E" w14:textId="3666106A" w:rsidR="00C300E4" w:rsidRPr="004E60A0" w:rsidRDefault="009039E9" w:rsidP="009039E9">
      <w:pPr>
        <w:spacing w:after="200" w:line="276" w:lineRule="auto"/>
        <w:jc w:val="both"/>
        <w:rPr>
          <w:rFonts w:eastAsia="Calibri"/>
          <w:b/>
          <w:bCs/>
          <w:i/>
          <w:iCs/>
          <w:lang w:eastAsia="en-US"/>
        </w:rPr>
      </w:pPr>
      <w:r w:rsidRPr="004E60A0">
        <w:rPr>
          <w:rFonts w:eastAsia="Calibri"/>
          <w:b/>
          <w:bCs/>
          <w:i/>
          <w:iCs/>
          <w:lang w:eastAsia="en-US"/>
        </w:rPr>
        <w:t>Cette préférence sera appliquée à titre de correction à des fins de comparaison lors de l’évaluation financière, sans modification des montants des contrats attribués.</w:t>
      </w:r>
    </w:p>
    <w:p w14:paraId="6B9AA5E1" w14:textId="1AD57BED" w:rsidR="00C300E4" w:rsidRPr="00C300E4" w:rsidRDefault="00C300E4" w:rsidP="00C300E4">
      <w:pPr>
        <w:spacing w:after="200"/>
        <w:jc w:val="center"/>
        <w:rPr>
          <w:b/>
        </w:rPr>
      </w:pPr>
      <w:r w:rsidRPr="00EE24C8">
        <w:rPr>
          <w:rStyle w:val="lev"/>
        </w:rPr>
        <w:t>SOUMETTRE UNE OFFRE</w:t>
      </w:r>
    </w:p>
    <w:p w14:paraId="26DA9F5A" w14:textId="77777777" w:rsidR="00C300E4" w:rsidRPr="00EE24C8" w:rsidRDefault="00C300E4" w:rsidP="00C300E4">
      <w:pPr>
        <w:pStyle w:val="Titre1"/>
        <w:keepLines w:val="0"/>
        <w:widowControl w:val="0"/>
        <w:suppressAutoHyphens/>
        <w:spacing w:before="100" w:after="100" w:line="240" w:lineRule="auto"/>
        <w:jc w:val="both"/>
        <w:rPr>
          <w:rFonts w:ascii="Times New Roman" w:eastAsiaTheme="minorHAnsi" w:hAnsi="Times New Roman" w:cs="Times New Roman"/>
          <w:b/>
          <w:color w:val="auto"/>
          <w:sz w:val="24"/>
          <w:szCs w:val="24"/>
        </w:rPr>
      </w:pPr>
      <w:r w:rsidRPr="00EE24C8">
        <w:rPr>
          <w:rStyle w:val="lev"/>
          <w:rFonts w:ascii="Times New Roman" w:eastAsiaTheme="minorHAnsi" w:hAnsi="Times New Roman" w:cs="Times New Roman"/>
          <w:color w:val="auto"/>
          <w:sz w:val="24"/>
          <w:szCs w:val="24"/>
        </w:rPr>
        <w:t>17. Comment obtenir le dossier d’appel d’offres ?</w:t>
      </w:r>
    </w:p>
    <w:p w14:paraId="2C2007DA" w14:textId="77777777" w:rsidR="00C300E4" w:rsidRPr="00EE24C8" w:rsidRDefault="00C300E4" w:rsidP="00BF7021">
      <w:pPr>
        <w:spacing w:before="240" w:after="240" w:line="276" w:lineRule="auto"/>
        <w:jc w:val="both"/>
      </w:pPr>
      <w:r w:rsidRPr="00EE24C8">
        <w:t>Le dossier d’appel d’offres est disponible auprès de l’Autorité contractante à l’adresse ci-dessous, contre un paiement</w:t>
      </w:r>
      <w:r w:rsidRPr="00EE24C8">
        <w:rPr>
          <w:iCs/>
        </w:rPr>
        <w:t xml:space="preserve"> non remboursable de </w:t>
      </w:r>
      <w:r w:rsidRPr="00EE24C8">
        <w:rPr>
          <w:b/>
          <w:bCs/>
        </w:rPr>
        <w:t>cent milles (100 000) Francs CFA</w:t>
      </w:r>
      <w:r w:rsidRPr="00EE24C8">
        <w:rPr>
          <w:i/>
          <w:iCs/>
        </w:rPr>
        <w:t xml:space="preserve">. </w:t>
      </w:r>
      <w:r w:rsidRPr="00EE24C8">
        <w:t xml:space="preserve">La méthode de paiement sera en </w:t>
      </w:r>
      <w:r w:rsidRPr="00EE24C8">
        <w:rPr>
          <w:b/>
          <w:bCs/>
        </w:rPr>
        <w:t>espèce ou par virement. Le virement se fera sur le compte ci-dessous.</w:t>
      </w:r>
      <w:r w:rsidRPr="00EE24C8">
        <w:t xml:space="preserve"> Le paiement est effectué</w:t>
      </w:r>
      <w:r w:rsidRPr="00EE24C8">
        <w:rPr>
          <w:b/>
          <w:bCs/>
        </w:rPr>
        <w:t xml:space="preserve"> contre un reçu à présenter dans le DAO</w:t>
      </w:r>
      <w:r w:rsidRPr="00EE24C8">
        <w:rPr>
          <w:i/>
          <w:iCs/>
        </w:rPr>
        <w:t>.</w:t>
      </w:r>
      <w:r w:rsidRPr="00EE24C8">
        <w:t xml:space="preserve"> Le document sera adressé par courriel mail ou remis physiquement en main propre selon la méthode de paiement. Le document d’appel d’offres sera adressé </w:t>
      </w:r>
      <w:r w:rsidRPr="00EE24C8">
        <w:rPr>
          <w:b/>
          <w:bCs/>
        </w:rPr>
        <w:t xml:space="preserve">par </w:t>
      </w:r>
      <w:proofErr w:type="gramStart"/>
      <w:r w:rsidRPr="00EE24C8">
        <w:rPr>
          <w:b/>
          <w:bCs/>
        </w:rPr>
        <w:t>email</w:t>
      </w:r>
      <w:proofErr w:type="gramEnd"/>
      <w:r w:rsidRPr="00EE24C8">
        <w:rPr>
          <w:b/>
          <w:bCs/>
        </w:rPr>
        <w:t xml:space="preserve"> et sera remis en document physique imprimé</w:t>
      </w:r>
      <w:r w:rsidRPr="00EE24C8">
        <w:rPr>
          <w:i/>
          <w:iCs/>
        </w:rPr>
        <w:t>.</w:t>
      </w:r>
    </w:p>
    <w:p w14:paraId="63DA0CF6" w14:textId="77777777" w:rsidR="00C300E4" w:rsidRPr="00EE24C8" w:rsidRDefault="00C300E4" w:rsidP="00C300E4">
      <w:pPr>
        <w:spacing w:before="240" w:after="240"/>
        <w:ind w:left="567"/>
        <w:contextualSpacing/>
        <w:jc w:val="center"/>
        <w:rPr>
          <w:b/>
          <w:bCs/>
        </w:rPr>
      </w:pPr>
      <w:r w:rsidRPr="00EE24C8">
        <w:rPr>
          <w:b/>
          <w:bCs/>
        </w:rPr>
        <w:t>Agence Togolaise d’Electrification Rurale et des Energies Renouvelables (AT2ER)</w:t>
      </w:r>
    </w:p>
    <w:p w14:paraId="3F30203E" w14:textId="77777777" w:rsidR="00C300E4" w:rsidRPr="00EE24C8" w:rsidRDefault="00C300E4" w:rsidP="00C300E4">
      <w:pPr>
        <w:spacing w:before="240" w:after="240"/>
        <w:ind w:left="567"/>
        <w:contextualSpacing/>
        <w:jc w:val="center"/>
        <w:rPr>
          <w:b/>
          <w:bCs/>
        </w:rPr>
      </w:pPr>
      <w:proofErr w:type="spellStart"/>
      <w:r w:rsidRPr="00EE24C8">
        <w:rPr>
          <w:b/>
          <w:bCs/>
        </w:rPr>
        <w:t>Tokoin</w:t>
      </w:r>
      <w:proofErr w:type="spellEnd"/>
      <w:r w:rsidRPr="00EE24C8">
        <w:rPr>
          <w:b/>
          <w:bCs/>
        </w:rPr>
        <w:t xml:space="preserve"> </w:t>
      </w:r>
      <w:proofErr w:type="spellStart"/>
      <w:r w:rsidRPr="00EE24C8">
        <w:rPr>
          <w:b/>
          <w:bCs/>
        </w:rPr>
        <w:t>Gbonvié</w:t>
      </w:r>
      <w:proofErr w:type="spellEnd"/>
      <w:r w:rsidRPr="00EE24C8">
        <w:rPr>
          <w:b/>
          <w:bCs/>
        </w:rPr>
        <w:t xml:space="preserve">, 503 rue de la </w:t>
      </w:r>
      <w:proofErr w:type="spellStart"/>
      <w:r w:rsidRPr="00EE24C8">
        <w:rPr>
          <w:b/>
          <w:bCs/>
        </w:rPr>
        <w:t>Binah</w:t>
      </w:r>
      <w:proofErr w:type="spellEnd"/>
      <w:r w:rsidRPr="00EE24C8">
        <w:rPr>
          <w:b/>
          <w:bCs/>
        </w:rPr>
        <w:t>, non loin de la clinique ATBEF</w:t>
      </w:r>
    </w:p>
    <w:p w14:paraId="3451D36D" w14:textId="77777777" w:rsidR="00C300E4" w:rsidRPr="00D55A14" w:rsidRDefault="00C300E4" w:rsidP="00C300E4">
      <w:pPr>
        <w:spacing w:before="240" w:after="240"/>
        <w:ind w:left="567"/>
        <w:contextualSpacing/>
        <w:jc w:val="center"/>
        <w:rPr>
          <w:b/>
          <w:bCs/>
        </w:rPr>
      </w:pPr>
      <w:r w:rsidRPr="00D55A14">
        <w:rPr>
          <w:b/>
          <w:bCs/>
        </w:rPr>
        <w:t>Tél : (+228) 22 21 21 44 / Fax : (+228) 22 21 21 44</w:t>
      </w:r>
    </w:p>
    <w:p w14:paraId="4228BB76" w14:textId="77777777" w:rsidR="00C300E4" w:rsidRPr="00EE24C8" w:rsidRDefault="00C300E4" w:rsidP="00C300E4">
      <w:pPr>
        <w:spacing w:before="240" w:after="240"/>
        <w:ind w:left="567"/>
        <w:jc w:val="center"/>
        <w:rPr>
          <w:b/>
          <w:color w:val="4472C4" w:themeColor="accent1"/>
        </w:rPr>
      </w:pPr>
      <w:proofErr w:type="gramStart"/>
      <w:r w:rsidRPr="00EE24C8">
        <w:t>E-mail</w:t>
      </w:r>
      <w:proofErr w:type="gramEnd"/>
      <w:r w:rsidRPr="00EE24C8">
        <w:t xml:space="preserve"> : </w:t>
      </w:r>
      <w:r w:rsidRPr="00565018">
        <w:rPr>
          <w:b/>
          <w:color w:val="000000" w:themeColor="text1"/>
        </w:rPr>
        <w:t>passation_marches@at2er.tg avec copie à per172@at2er.tg</w:t>
      </w:r>
    </w:p>
    <w:p w14:paraId="2FAC86EB" w14:textId="77777777" w:rsidR="00C300E4" w:rsidRPr="00EE24C8" w:rsidRDefault="00C300E4" w:rsidP="00C300E4">
      <w:pPr>
        <w:tabs>
          <w:tab w:val="num" w:pos="426"/>
        </w:tabs>
        <w:spacing w:before="240"/>
        <w:ind w:left="567"/>
        <w:contextualSpacing/>
        <w:jc w:val="both"/>
        <w:rPr>
          <w:b/>
          <w:bCs/>
        </w:rPr>
      </w:pPr>
      <w:r w:rsidRPr="00EE24C8">
        <w:t xml:space="preserve">Intitulé du compte : </w:t>
      </w:r>
      <w:r w:rsidRPr="00EE24C8">
        <w:rPr>
          <w:b/>
          <w:bCs/>
        </w:rPr>
        <w:t xml:space="preserve">AT2ER </w:t>
      </w:r>
    </w:p>
    <w:p w14:paraId="08C0B22D" w14:textId="77777777" w:rsidR="00C300E4" w:rsidRDefault="00C300E4" w:rsidP="00C300E4">
      <w:pPr>
        <w:tabs>
          <w:tab w:val="num" w:pos="426"/>
        </w:tabs>
        <w:jc w:val="both"/>
        <w:rPr>
          <w:b/>
          <w:bCs/>
        </w:rPr>
      </w:pPr>
      <w:r w:rsidRPr="00EE24C8">
        <w:t xml:space="preserve">          Nom de la banque : </w:t>
      </w:r>
      <w:r w:rsidRPr="00EE24C8">
        <w:rPr>
          <w:b/>
          <w:bCs/>
        </w:rPr>
        <w:t>ORABANK TOGO</w:t>
      </w:r>
    </w:p>
    <w:p w14:paraId="69E92631" w14:textId="77777777" w:rsidR="00B82EC9" w:rsidRPr="00EE24C8" w:rsidRDefault="00B82EC9" w:rsidP="00C300E4">
      <w:pPr>
        <w:tabs>
          <w:tab w:val="num" w:pos="426"/>
        </w:tabs>
        <w:jc w:val="both"/>
      </w:pPr>
    </w:p>
    <w:tbl>
      <w:tblPr>
        <w:tblW w:w="8642" w:type="dxa"/>
        <w:tblInd w:w="279" w:type="dxa"/>
        <w:tblLayout w:type="fixed"/>
        <w:tblLook w:val="04A0" w:firstRow="1" w:lastRow="0" w:firstColumn="1" w:lastColumn="0" w:noHBand="0" w:noVBand="1"/>
      </w:tblPr>
      <w:tblGrid>
        <w:gridCol w:w="964"/>
        <w:gridCol w:w="992"/>
        <w:gridCol w:w="1544"/>
        <w:gridCol w:w="680"/>
        <w:gridCol w:w="1682"/>
        <w:gridCol w:w="2780"/>
      </w:tblGrid>
      <w:tr w:rsidR="00C300E4" w:rsidRPr="00EE24C8" w14:paraId="3760681B" w14:textId="77777777" w:rsidTr="00AA07CD">
        <w:trPr>
          <w:trHeight w:val="514"/>
        </w:trPr>
        <w:tc>
          <w:tcPr>
            <w:tcW w:w="964" w:type="dxa"/>
            <w:tcBorders>
              <w:top w:val="single" w:sz="4" w:space="0" w:color="auto"/>
              <w:left w:val="single" w:sz="4" w:space="0" w:color="auto"/>
              <w:bottom w:val="single" w:sz="4" w:space="0" w:color="auto"/>
              <w:right w:val="single" w:sz="4" w:space="0" w:color="auto"/>
            </w:tcBorders>
            <w:vAlign w:val="center"/>
            <w:hideMark/>
          </w:tcPr>
          <w:p w14:paraId="638022CA" w14:textId="77777777" w:rsidR="00C300E4" w:rsidRPr="00EE24C8" w:rsidRDefault="00C300E4" w:rsidP="00AA07CD">
            <w:pPr>
              <w:tabs>
                <w:tab w:val="num" w:pos="426"/>
              </w:tabs>
              <w:jc w:val="both"/>
            </w:pPr>
            <w:r w:rsidRPr="00EE24C8">
              <w:t>Code banque</w:t>
            </w:r>
          </w:p>
        </w:tc>
        <w:tc>
          <w:tcPr>
            <w:tcW w:w="992" w:type="dxa"/>
            <w:tcBorders>
              <w:top w:val="single" w:sz="4" w:space="0" w:color="auto"/>
              <w:left w:val="single" w:sz="4" w:space="0" w:color="auto"/>
              <w:bottom w:val="single" w:sz="4" w:space="0" w:color="auto"/>
              <w:right w:val="single" w:sz="4" w:space="0" w:color="auto"/>
            </w:tcBorders>
            <w:vAlign w:val="center"/>
            <w:hideMark/>
          </w:tcPr>
          <w:p w14:paraId="45C3934C" w14:textId="77777777" w:rsidR="00C300E4" w:rsidRPr="00EE24C8" w:rsidRDefault="00C300E4" w:rsidP="00AA07CD">
            <w:pPr>
              <w:tabs>
                <w:tab w:val="num" w:pos="426"/>
              </w:tabs>
              <w:jc w:val="both"/>
            </w:pPr>
            <w:r w:rsidRPr="00EE24C8">
              <w:t>Code guichet</w:t>
            </w:r>
          </w:p>
        </w:tc>
        <w:tc>
          <w:tcPr>
            <w:tcW w:w="1544" w:type="dxa"/>
            <w:tcBorders>
              <w:top w:val="single" w:sz="4" w:space="0" w:color="auto"/>
              <w:left w:val="single" w:sz="4" w:space="0" w:color="auto"/>
              <w:bottom w:val="single" w:sz="4" w:space="0" w:color="auto"/>
              <w:right w:val="single" w:sz="4" w:space="0" w:color="auto"/>
            </w:tcBorders>
            <w:vAlign w:val="center"/>
            <w:hideMark/>
          </w:tcPr>
          <w:p w14:paraId="7AF6A45F" w14:textId="77777777" w:rsidR="00C300E4" w:rsidRPr="00EE24C8" w:rsidRDefault="00C300E4" w:rsidP="00AA07CD">
            <w:pPr>
              <w:tabs>
                <w:tab w:val="num" w:pos="426"/>
              </w:tabs>
              <w:jc w:val="both"/>
            </w:pPr>
            <w:r w:rsidRPr="00EE24C8">
              <w:t>Numéro de compte</w:t>
            </w:r>
          </w:p>
        </w:tc>
        <w:tc>
          <w:tcPr>
            <w:tcW w:w="680" w:type="dxa"/>
            <w:tcBorders>
              <w:top w:val="single" w:sz="4" w:space="0" w:color="auto"/>
              <w:left w:val="single" w:sz="4" w:space="0" w:color="auto"/>
              <w:bottom w:val="single" w:sz="4" w:space="0" w:color="auto"/>
              <w:right w:val="single" w:sz="4" w:space="0" w:color="auto"/>
            </w:tcBorders>
            <w:vAlign w:val="center"/>
            <w:hideMark/>
          </w:tcPr>
          <w:p w14:paraId="630CC194" w14:textId="77777777" w:rsidR="00C300E4" w:rsidRPr="00EE24C8" w:rsidRDefault="00C300E4" w:rsidP="00AA07CD">
            <w:pPr>
              <w:tabs>
                <w:tab w:val="num" w:pos="426"/>
              </w:tabs>
              <w:jc w:val="both"/>
            </w:pPr>
            <w:r w:rsidRPr="00EE24C8">
              <w:t>Clé RIB</w:t>
            </w:r>
          </w:p>
        </w:tc>
        <w:tc>
          <w:tcPr>
            <w:tcW w:w="1682" w:type="dxa"/>
            <w:tcBorders>
              <w:top w:val="single" w:sz="4" w:space="0" w:color="auto"/>
              <w:left w:val="single" w:sz="4" w:space="0" w:color="auto"/>
              <w:bottom w:val="single" w:sz="4" w:space="0" w:color="auto"/>
              <w:right w:val="single" w:sz="4" w:space="0" w:color="auto"/>
            </w:tcBorders>
            <w:vAlign w:val="center"/>
            <w:hideMark/>
          </w:tcPr>
          <w:p w14:paraId="7B6B2859" w14:textId="77777777" w:rsidR="00C300E4" w:rsidRPr="00EE24C8" w:rsidRDefault="00C300E4" w:rsidP="00AA07CD">
            <w:pPr>
              <w:tabs>
                <w:tab w:val="num" w:pos="426"/>
              </w:tabs>
              <w:jc w:val="both"/>
            </w:pPr>
            <w:r w:rsidRPr="00EE24C8">
              <w:t>Code BIC</w:t>
            </w:r>
          </w:p>
        </w:tc>
        <w:tc>
          <w:tcPr>
            <w:tcW w:w="2780" w:type="dxa"/>
            <w:tcBorders>
              <w:top w:val="single" w:sz="4" w:space="0" w:color="auto"/>
              <w:left w:val="single" w:sz="4" w:space="0" w:color="auto"/>
              <w:bottom w:val="single" w:sz="4" w:space="0" w:color="auto"/>
              <w:right w:val="single" w:sz="4" w:space="0" w:color="auto"/>
            </w:tcBorders>
            <w:vAlign w:val="center"/>
            <w:hideMark/>
          </w:tcPr>
          <w:p w14:paraId="58F7D983" w14:textId="77777777" w:rsidR="00C300E4" w:rsidRPr="00EE24C8" w:rsidRDefault="00C300E4" w:rsidP="00AA07CD">
            <w:pPr>
              <w:tabs>
                <w:tab w:val="num" w:pos="426"/>
              </w:tabs>
              <w:jc w:val="both"/>
            </w:pPr>
            <w:r w:rsidRPr="00EE24C8">
              <w:t>IBAN</w:t>
            </w:r>
          </w:p>
        </w:tc>
      </w:tr>
      <w:tr w:rsidR="00C300E4" w:rsidRPr="00EE24C8" w14:paraId="1A022C22" w14:textId="77777777" w:rsidTr="00AA07CD">
        <w:trPr>
          <w:trHeight w:val="417"/>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6B4C5" w14:textId="77777777" w:rsidR="00C300E4" w:rsidRPr="00EE24C8" w:rsidRDefault="00C300E4" w:rsidP="00AA07CD">
            <w:pPr>
              <w:tabs>
                <w:tab w:val="num" w:pos="426"/>
              </w:tabs>
              <w:jc w:val="both"/>
              <w:rPr>
                <w:b/>
                <w:bCs/>
              </w:rPr>
            </w:pPr>
            <w:r w:rsidRPr="00EE24C8">
              <w:rPr>
                <w:b/>
                <w:bCs/>
              </w:rPr>
              <w:t>TG 116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19EB1" w14:textId="77777777" w:rsidR="00C300E4" w:rsidRPr="00EE24C8" w:rsidRDefault="00C300E4" w:rsidP="00AA07CD">
            <w:pPr>
              <w:tabs>
                <w:tab w:val="num" w:pos="426"/>
              </w:tabs>
              <w:jc w:val="both"/>
              <w:rPr>
                <w:b/>
                <w:bCs/>
              </w:rPr>
            </w:pPr>
            <w:r w:rsidRPr="00EE24C8">
              <w:rPr>
                <w:b/>
                <w:bCs/>
              </w:rPr>
              <w:t>01101</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1BDD3" w14:textId="77777777" w:rsidR="00C300E4" w:rsidRPr="00EE24C8" w:rsidRDefault="00C300E4" w:rsidP="00AA07CD">
            <w:pPr>
              <w:tabs>
                <w:tab w:val="num" w:pos="426"/>
              </w:tabs>
              <w:jc w:val="both"/>
              <w:rPr>
                <w:b/>
                <w:bCs/>
              </w:rPr>
            </w:pPr>
            <w:r w:rsidRPr="00EE24C8">
              <w:rPr>
                <w:b/>
                <w:bCs/>
              </w:rPr>
              <w:t>067830400101</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C131B" w14:textId="77777777" w:rsidR="00C300E4" w:rsidRPr="00EE24C8" w:rsidRDefault="00C300E4" w:rsidP="00AA07CD">
            <w:pPr>
              <w:tabs>
                <w:tab w:val="num" w:pos="426"/>
              </w:tabs>
              <w:jc w:val="both"/>
              <w:rPr>
                <w:b/>
                <w:bCs/>
              </w:rPr>
            </w:pPr>
            <w:r w:rsidRPr="00EE24C8">
              <w:rPr>
                <w:b/>
                <w:bCs/>
              </w:rPr>
              <w:t>73</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5C946" w14:textId="77777777" w:rsidR="00C300E4" w:rsidRPr="00EE24C8" w:rsidRDefault="00C300E4" w:rsidP="00AA07CD">
            <w:pPr>
              <w:tabs>
                <w:tab w:val="num" w:pos="426"/>
              </w:tabs>
              <w:jc w:val="both"/>
              <w:rPr>
                <w:b/>
                <w:bCs/>
              </w:rPr>
            </w:pPr>
            <w:r w:rsidRPr="00EE24C8">
              <w:rPr>
                <w:b/>
                <w:bCs/>
              </w:rPr>
              <w:t>ORBKTGTG</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773CC" w14:textId="77777777" w:rsidR="00C300E4" w:rsidRPr="00EE24C8" w:rsidRDefault="00C300E4" w:rsidP="00AA07CD">
            <w:pPr>
              <w:tabs>
                <w:tab w:val="num" w:pos="426"/>
              </w:tabs>
              <w:jc w:val="both"/>
            </w:pPr>
            <w:r w:rsidRPr="00EE24C8">
              <w:rPr>
                <w:b/>
                <w:bCs/>
              </w:rPr>
              <w:t>TG53 TG116 01101 067830400101 73</w:t>
            </w:r>
          </w:p>
        </w:tc>
      </w:tr>
    </w:tbl>
    <w:p w14:paraId="6063D1B7" w14:textId="77777777" w:rsidR="00C300E4" w:rsidRPr="00EE24C8" w:rsidRDefault="00C300E4" w:rsidP="00C300E4">
      <w:pPr>
        <w:jc w:val="both"/>
      </w:pPr>
    </w:p>
    <w:p w14:paraId="7071509D" w14:textId="77777777" w:rsidR="00C300E4" w:rsidRPr="00EE24C8" w:rsidRDefault="00C300E4" w:rsidP="00C300E4">
      <w:pPr>
        <w:pStyle w:val="Blockquote"/>
        <w:spacing w:before="0" w:after="0"/>
        <w:ind w:left="0" w:right="0"/>
        <w:jc w:val="both"/>
        <w:rPr>
          <w:szCs w:val="24"/>
          <w:lang w:val="fr-FR"/>
        </w:rPr>
      </w:pPr>
      <w:r w:rsidRPr="00EE24C8">
        <w:rPr>
          <w:szCs w:val="24"/>
          <w:lang w:val="fr-FR"/>
        </w:rPr>
        <w:t>Les offres doivent être rédigées uniquement au moyen du formulaire type de soumission pour les marchés de travaux inclus dans le dossier d’appel d’offres, dont les dispositions et la présentation doivent être strictement respectées.</w:t>
      </w:r>
    </w:p>
    <w:p w14:paraId="462E8FE5" w14:textId="77777777" w:rsidR="00C300E4" w:rsidRPr="00EE24C8" w:rsidRDefault="00C300E4" w:rsidP="00C300E4">
      <w:pPr>
        <w:pStyle w:val="Blockquote"/>
        <w:spacing w:before="0" w:after="0"/>
        <w:ind w:left="0" w:right="0"/>
        <w:jc w:val="both"/>
        <w:rPr>
          <w:szCs w:val="24"/>
          <w:lang w:val="fr-FR"/>
        </w:rPr>
      </w:pPr>
    </w:p>
    <w:p w14:paraId="03531D96" w14:textId="77777777" w:rsidR="00C300E4" w:rsidRPr="00EE24C8" w:rsidRDefault="00C300E4" w:rsidP="00C300E4">
      <w:pPr>
        <w:pStyle w:val="Titre1"/>
        <w:keepNext w:val="0"/>
        <w:tabs>
          <w:tab w:val="left" w:pos="567"/>
        </w:tabs>
        <w:spacing w:before="0"/>
        <w:jc w:val="both"/>
        <w:rPr>
          <w:rFonts w:ascii="Times New Roman" w:hAnsi="Times New Roman" w:cs="Times New Roman"/>
          <w:b/>
          <w:color w:val="auto"/>
          <w:sz w:val="24"/>
          <w:szCs w:val="24"/>
        </w:rPr>
      </w:pPr>
      <w:r w:rsidRPr="00EE24C8">
        <w:rPr>
          <w:rFonts w:ascii="Times New Roman" w:hAnsi="Times New Roman" w:cs="Times New Roman"/>
          <w:b/>
          <w:color w:val="auto"/>
          <w:sz w:val="24"/>
          <w:szCs w:val="24"/>
        </w:rPr>
        <w:t>Informations complémentaires avant la date limite de remise des offres</w:t>
      </w:r>
    </w:p>
    <w:p w14:paraId="26A2AB5B" w14:textId="366C5719" w:rsidR="00C300E4" w:rsidRPr="00EE24C8" w:rsidRDefault="00C300E4" w:rsidP="001320EC">
      <w:pPr>
        <w:spacing w:before="240"/>
        <w:ind w:right="4"/>
        <w:jc w:val="both"/>
      </w:pPr>
      <w:r w:rsidRPr="00EE24C8">
        <w:t>Les soumissionnaires peuvent envoyer leurs questions par écrit à l'adresse ci-dessous mentionné suivante au plus tard 20 jours avant la date limite de remise des offres, en précisant la référence de publication et l'intitulé du marché</w:t>
      </w:r>
      <w:r w:rsidRPr="00EE24C8">
        <w:rPr>
          <w:b/>
        </w:rPr>
        <w:t xml:space="preserve"> </w:t>
      </w:r>
      <w:r w:rsidRPr="00EE24C8">
        <w:t>:</w:t>
      </w:r>
    </w:p>
    <w:p w14:paraId="49948DD0" w14:textId="77777777" w:rsidR="00C300E4" w:rsidRPr="00EE24C8" w:rsidRDefault="00C300E4" w:rsidP="00C300E4">
      <w:pPr>
        <w:jc w:val="both"/>
        <w:rPr>
          <w:b/>
          <w:iCs/>
        </w:rPr>
      </w:pPr>
      <w:r w:rsidRPr="00EE24C8">
        <w:t>Nom de l’Autorité Contractante :</w:t>
      </w:r>
      <w:r w:rsidRPr="00EE24C8">
        <w:rPr>
          <w:b/>
          <w:iCs/>
        </w:rPr>
        <w:t xml:space="preserve"> Agence Togolaise d’Electrification Rurale et des Energies Renouvelables (AT2ER)</w:t>
      </w:r>
    </w:p>
    <w:p w14:paraId="5031D08B" w14:textId="77777777" w:rsidR="00B82EC9" w:rsidRDefault="00C300E4" w:rsidP="00BF7021">
      <w:pPr>
        <w:contextualSpacing/>
        <w:jc w:val="both"/>
        <w:rPr>
          <w:b/>
          <w:iCs/>
        </w:rPr>
      </w:pPr>
      <w:r w:rsidRPr="00EE24C8">
        <w:t xml:space="preserve">Adresse : </w:t>
      </w:r>
      <w:proofErr w:type="spellStart"/>
      <w:r w:rsidRPr="00EE24C8">
        <w:rPr>
          <w:b/>
          <w:iCs/>
        </w:rPr>
        <w:t>Tokoin</w:t>
      </w:r>
      <w:proofErr w:type="spellEnd"/>
      <w:r w:rsidRPr="00EE24C8">
        <w:rPr>
          <w:b/>
          <w:iCs/>
        </w:rPr>
        <w:t xml:space="preserve"> </w:t>
      </w:r>
      <w:proofErr w:type="spellStart"/>
      <w:r w:rsidRPr="00EE24C8">
        <w:rPr>
          <w:b/>
          <w:iCs/>
        </w:rPr>
        <w:t>Gbonvié</w:t>
      </w:r>
      <w:proofErr w:type="spellEnd"/>
      <w:r w:rsidRPr="00EE24C8">
        <w:rPr>
          <w:b/>
          <w:iCs/>
        </w:rPr>
        <w:t xml:space="preserve">, 503 rue de la </w:t>
      </w:r>
      <w:proofErr w:type="spellStart"/>
      <w:r w:rsidRPr="00EE24C8">
        <w:rPr>
          <w:b/>
          <w:iCs/>
        </w:rPr>
        <w:t>Binah</w:t>
      </w:r>
      <w:proofErr w:type="spellEnd"/>
      <w:r w:rsidRPr="00EE24C8">
        <w:rPr>
          <w:b/>
          <w:iCs/>
        </w:rPr>
        <w:t>, non loin de la clinique ATBEF, Tél : (+228) 22 21 21 44 / Fax : (+228) 22 21 21 44</w:t>
      </w:r>
      <w:r w:rsidR="00BF7021">
        <w:rPr>
          <w:b/>
          <w:iCs/>
        </w:rPr>
        <w:t xml:space="preserve"> </w:t>
      </w:r>
    </w:p>
    <w:p w14:paraId="28F27750" w14:textId="6312C3B5" w:rsidR="00C300E4" w:rsidRPr="006312B1" w:rsidRDefault="00B82EC9" w:rsidP="00BF7021">
      <w:pPr>
        <w:contextualSpacing/>
        <w:jc w:val="both"/>
      </w:pPr>
      <w:proofErr w:type="gramStart"/>
      <w:r w:rsidRPr="00B82EC9">
        <w:rPr>
          <w:bCs/>
          <w:iCs/>
        </w:rPr>
        <w:t>E</w:t>
      </w:r>
      <w:r>
        <w:rPr>
          <w:b/>
          <w:iCs/>
        </w:rPr>
        <w:t>-</w:t>
      </w:r>
      <w:r w:rsidR="00C300E4" w:rsidRPr="00EE24C8">
        <w:t>mail</w:t>
      </w:r>
      <w:proofErr w:type="gramEnd"/>
      <w:r w:rsidR="00C300E4" w:rsidRPr="00EE24C8">
        <w:t> :</w:t>
      </w:r>
      <w:r w:rsidR="00C300E4" w:rsidRPr="006312B1">
        <w:rPr>
          <w:rStyle w:val="Lienhypertexte"/>
          <w:rFonts w:eastAsiaTheme="majorEastAsia"/>
          <w:b/>
          <w:bCs/>
          <w:u w:val="none"/>
        </w:rPr>
        <w:t xml:space="preserve"> passation_marches@at2er.tg</w:t>
      </w:r>
      <w:r w:rsidR="00C300E4" w:rsidRPr="006312B1">
        <w:rPr>
          <w:rStyle w:val="Lienhypertexte"/>
          <w:rFonts w:eastAsiaTheme="majorEastAsia"/>
          <w:b/>
          <w:bCs/>
          <w:spacing w:val="-2"/>
          <w:u w:val="none"/>
        </w:rPr>
        <w:t xml:space="preserve"> </w:t>
      </w:r>
      <w:r w:rsidR="00C300E4" w:rsidRPr="006312B1">
        <w:rPr>
          <w:rStyle w:val="Lienhypertexte"/>
          <w:rFonts w:eastAsiaTheme="majorEastAsia"/>
          <w:b/>
          <w:spacing w:val="-2"/>
          <w:u w:val="none"/>
        </w:rPr>
        <w:t xml:space="preserve">avec copie à </w:t>
      </w:r>
      <w:hyperlink r:id="rId10" w:history="1">
        <w:r w:rsidR="00C300E4" w:rsidRPr="006312B1">
          <w:rPr>
            <w:rStyle w:val="Lienhypertexte"/>
            <w:rFonts w:eastAsiaTheme="majorEastAsia"/>
            <w:b/>
            <w:spacing w:val="-2"/>
            <w:u w:val="none"/>
          </w:rPr>
          <w:t>per172@at2er.tg</w:t>
        </w:r>
      </w:hyperlink>
      <w:r w:rsidR="00C300E4" w:rsidRPr="006312B1">
        <w:rPr>
          <w:rStyle w:val="Lienhypertexte"/>
          <w:rFonts w:eastAsiaTheme="majorEastAsia"/>
          <w:color w:val="000000" w:themeColor="text1"/>
          <w:spacing w:val="-2"/>
          <w:u w:val="none"/>
        </w:rPr>
        <w:t xml:space="preserve"> </w:t>
      </w:r>
    </w:p>
    <w:p w14:paraId="78D80D67" w14:textId="73A08D25" w:rsidR="00C300E4" w:rsidRPr="00EE24C8" w:rsidRDefault="00C300E4" w:rsidP="001320EC">
      <w:pPr>
        <w:pStyle w:val="Corpsdetexte"/>
        <w:spacing w:before="240" w:after="0"/>
        <w:ind w:right="4"/>
        <w:rPr>
          <w:rFonts w:ascii="Times New Roman" w:hAnsi="Times New Roman" w:cs="Times New Roman"/>
          <w:sz w:val="24"/>
          <w:szCs w:val="24"/>
        </w:rPr>
      </w:pPr>
      <w:r w:rsidRPr="00EE24C8">
        <w:rPr>
          <w:rFonts w:ascii="Times New Roman" w:hAnsi="Times New Roman" w:cs="Times New Roman"/>
          <w:sz w:val="24"/>
          <w:szCs w:val="24"/>
        </w:rPr>
        <w:t>L’autorité Contractante n'a aucune obligation de fournir des éclaircissements après cette date.</w:t>
      </w:r>
    </w:p>
    <w:p w14:paraId="428A54F5" w14:textId="77777777" w:rsidR="00C300E4" w:rsidRDefault="00C300E4" w:rsidP="004E60A0">
      <w:pPr>
        <w:pStyle w:val="Corpsdetexte"/>
        <w:spacing w:before="240" w:after="0"/>
        <w:ind w:right="4"/>
        <w:rPr>
          <w:rFonts w:ascii="Times New Roman" w:hAnsi="Times New Roman" w:cs="Times New Roman"/>
          <w:sz w:val="24"/>
          <w:szCs w:val="24"/>
        </w:rPr>
      </w:pPr>
      <w:r w:rsidRPr="00EE24C8">
        <w:rPr>
          <w:rFonts w:ascii="Times New Roman" w:hAnsi="Times New Roman" w:cs="Times New Roman"/>
          <w:sz w:val="24"/>
          <w:szCs w:val="24"/>
        </w:rPr>
        <w:t xml:space="preserve">Tout éclaircissement apporté au dossier d'appel d'offres sera publié dans les mêmes médias ayant servi à la publication de l’Avis de marché au plus tard 10 jours avant la date limite de remise des offres. </w:t>
      </w:r>
    </w:p>
    <w:p w14:paraId="4FEA00B0" w14:textId="77777777" w:rsidR="00C300E4" w:rsidRPr="00EE24C8" w:rsidRDefault="00C300E4" w:rsidP="00C300E4">
      <w:pPr>
        <w:pStyle w:val="Corpsdetexte"/>
        <w:spacing w:after="0"/>
        <w:ind w:right="4"/>
        <w:rPr>
          <w:rFonts w:ascii="Times New Roman" w:hAnsi="Times New Roman" w:cs="Times New Roman"/>
          <w:sz w:val="24"/>
          <w:szCs w:val="24"/>
        </w:rPr>
      </w:pPr>
    </w:p>
    <w:p w14:paraId="5F2936ED" w14:textId="77777777" w:rsidR="00C300E4" w:rsidRPr="00EE24C8" w:rsidRDefault="00C300E4" w:rsidP="00C300E4">
      <w:pPr>
        <w:pStyle w:val="Titre1"/>
        <w:keepLines w:val="0"/>
        <w:widowControl w:val="0"/>
        <w:suppressAutoHyphens/>
        <w:spacing w:before="100" w:after="100" w:line="240" w:lineRule="auto"/>
        <w:jc w:val="both"/>
        <w:rPr>
          <w:rFonts w:ascii="Times New Roman" w:eastAsiaTheme="minorHAnsi" w:hAnsi="Times New Roman" w:cs="Times New Roman"/>
          <w:b/>
          <w:color w:val="auto"/>
          <w:sz w:val="24"/>
          <w:szCs w:val="24"/>
        </w:rPr>
      </w:pPr>
      <w:r w:rsidRPr="00EE24C8">
        <w:rPr>
          <w:rStyle w:val="lev"/>
          <w:rFonts w:ascii="Times New Roman" w:eastAsiaTheme="minorHAnsi" w:hAnsi="Times New Roman" w:cs="Times New Roman"/>
          <w:color w:val="auto"/>
          <w:sz w:val="24"/>
          <w:szCs w:val="24"/>
        </w:rPr>
        <w:t>18. Date limite de soumission des offres</w:t>
      </w:r>
    </w:p>
    <w:p w14:paraId="4B2D1DE1" w14:textId="77777777" w:rsidR="00C300E4" w:rsidRPr="00EE24C8" w:rsidRDefault="00C300E4" w:rsidP="00C300E4">
      <w:pPr>
        <w:pStyle w:val="Blockquote"/>
        <w:spacing w:before="0" w:after="0"/>
        <w:ind w:left="0" w:right="0"/>
        <w:jc w:val="both"/>
        <w:rPr>
          <w:rStyle w:val="Accentuation"/>
          <w:b/>
          <w:bCs/>
          <w:i w:val="0"/>
          <w:iCs/>
          <w:szCs w:val="24"/>
          <w:lang w:val="fr-FR"/>
        </w:rPr>
      </w:pPr>
      <w:r w:rsidRPr="008842AB">
        <w:rPr>
          <w:rStyle w:val="Accentuation"/>
          <w:b/>
          <w:bCs/>
          <w:iCs/>
          <w:szCs w:val="24"/>
          <w:lang w:val="fr-FR"/>
        </w:rPr>
        <w:t xml:space="preserve">Vendredi 05 </w:t>
      </w:r>
      <w:proofErr w:type="gramStart"/>
      <w:r w:rsidRPr="008842AB">
        <w:rPr>
          <w:rStyle w:val="Accentuation"/>
          <w:b/>
          <w:bCs/>
          <w:iCs/>
          <w:szCs w:val="24"/>
          <w:lang w:val="fr-FR"/>
        </w:rPr>
        <w:t>Septembre</w:t>
      </w:r>
      <w:proofErr w:type="gramEnd"/>
      <w:r w:rsidRPr="008842AB">
        <w:rPr>
          <w:rStyle w:val="Accentuation"/>
          <w:b/>
          <w:bCs/>
          <w:iCs/>
          <w:szCs w:val="24"/>
          <w:lang w:val="fr-FR"/>
        </w:rPr>
        <w:t xml:space="preserve"> 2025 à 10 h 00 GMT.</w:t>
      </w:r>
    </w:p>
    <w:p w14:paraId="1CE01D47" w14:textId="77777777" w:rsidR="00C300E4" w:rsidRPr="00EE24C8" w:rsidRDefault="00C300E4" w:rsidP="00C300E4">
      <w:pPr>
        <w:pStyle w:val="Blockquote"/>
        <w:spacing w:before="0" w:after="0"/>
        <w:ind w:left="0" w:right="0"/>
        <w:jc w:val="both"/>
        <w:rPr>
          <w:szCs w:val="24"/>
          <w:lang w:val="fr-FR"/>
        </w:rPr>
      </w:pPr>
    </w:p>
    <w:p w14:paraId="5CCFECC8" w14:textId="77777777" w:rsidR="00C300E4" w:rsidRPr="00EE24C8" w:rsidRDefault="00C300E4" w:rsidP="00C300E4">
      <w:pPr>
        <w:pStyle w:val="Blockquote"/>
        <w:spacing w:before="0" w:after="0"/>
        <w:ind w:left="0" w:right="0"/>
        <w:jc w:val="both"/>
        <w:rPr>
          <w:szCs w:val="24"/>
          <w:lang w:val="fr-FR"/>
        </w:rPr>
      </w:pPr>
      <w:r w:rsidRPr="00EE24C8">
        <w:rPr>
          <w:szCs w:val="24"/>
          <w:lang w:val="fr-FR"/>
        </w:rPr>
        <w:t>Toute offre reçue après la date limite</w:t>
      </w:r>
      <w:r>
        <w:rPr>
          <w:szCs w:val="24"/>
          <w:lang w:val="fr-FR"/>
        </w:rPr>
        <w:t xml:space="preserve"> et l’heure limite</w:t>
      </w:r>
      <w:r w:rsidRPr="00EE24C8">
        <w:rPr>
          <w:szCs w:val="24"/>
          <w:lang w:val="fr-FR"/>
        </w:rPr>
        <w:t xml:space="preserve"> ne sera pas prise en considération.</w:t>
      </w:r>
    </w:p>
    <w:p w14:paraId="2FBB9324" w14:textId="77777777" w:rsidR="00C300E4" w:rsidRPr="00EE24C8" w:rsidRDefault="00C300E4" w:rsidP="00C300E4">
      <w:pPr>
        <w:pStyle w:val="Blockquote"/>
        <w:ind w:left="0" w:right="26"/>
        <w:jc w:val="both"/>
        <w:rPr>
          <w:szCs w:val="24"/>
          <w:lang w:val="fr-FR"/>
        </w:rPr>
      </w:pPr>
      <w:r w:rsidRPr="00EE24C8">
        <w:rPr>
          <w:szCs w:val="24"/>
          <w:lang w:val="fr-FR"/>
        </w:rPr>
        <w:t>Les offres doivent être soumises, sous enveloppe scellée, exclusivement au maître d’ouvrage délégué et être :</w:t>
      </w:r>
    </w:p>
    <w:p w14:paraId="4A08A7CA" w14:textId="77777777" w:rsidR="00C300E4" w:rsidRPr="00EE24C8" w:rsidRDefault="00C300E4" w:rsidP="00C300E4">
      <w:pPr>
        <w:widowControl w:val="0"/>
        <w:numPr>
          <w:ilvl w:val="0"/>
          <w:numId w:val="22"/>
        </w:numPr>
        <w:spacing w:before="100" w:after="100"/>
        <w:ind w:right="26"/>
        <w:jc w:val="both"/>
      </w:pPr>
      <w:r w:rsidRPr="00EE24C8">
        <w:t>Soit envoyées par courrier postal ou par service de messagerie, auquel cas la date du récépissé de dépôt font foi</w:t>
      </w:r>
      <w:r>
        <w:t xml:space="preserve"> </w:t>
      </w:r>
      <w:r w:rsidRPr="00EE24C8">
        <w:t>;</w:t>
      </w:r>
    </w:p>
    <w:p w14:paraId="4919D6CF" w14:textId="77777777" w:rsidR="00C300E4" w:rsidRPr="00EE24C8" w:rsidRDefault="00C300E4" w:rsidP="00C300E4">
      <w:pPr>
        <w:widowControl w:val="0"/>
        <w:numPr>
          <w:ilvl w:val="0"/>
          <w:numId w:val="22"/>
        </w:numPr>
        <w:spacing w:before="100" w:after="100"/>
        <w:ind w:right="26"/>
        <w:jc w:val="both"/>
      </w:pPr>
      <w:r w:rsidRPr="00EE24C8">
        <w:t xml:space="preserve">Soit </w:t>
      </w:r>
      <w:r w:rsidRPr="00EE24C8">
        <w:rPr>
          <w:rStyle w:val="lev"/>
        </w:rPr>
        <w:t>remises en main propre</w:t>
      </w:r>
      <w:r w:rsidRPr="00EE24C8">
        <w:t xml:space="preserve"> par le participant en personne ou par un agent </w:t>
      </w:r>
      <w:r w:rsidRPr="00EE24C8">
        <w:rPr>
          <w:rStyle w:val="lev"/>
        </w:rPr>
        <w:t>directement</w:t>
      </w:r>
      <w:r w:rsidRPr="00EE24C8">
        <w:t xml:space="preserve"> dans les locaux du maître d’ouvrage contre </w:t>
      </w:r>
      <w:r w:rsidRPr="00EE24C8">
        <w:rPr>
          <w:rStyle w:val="lev"/>
        </w:rPr>
        <w:t>remise d’un accusé de réception signé et daté</w:t>
      </w:r>
      <w:r w:rsidRPr="00EE24C8">
        <w:t>, auquel cas l’accusé de réception fait foi.</w:t>
      </w:r>
    </w:p>
    <w:p w14:paraId="7F52A8A6" w14:textId="77777777" w:rsidR="00C300E4" w:rsidRPr="00EE24C8" w:rsidRDefault="00C300E4" w:rsidP="00C300E4">
      <w:pPr>
        <w:pStyle w:val="Blockquote"/>
        <w:ind w:left="0" w:right="26"/>
        <w:jc w:val="both"/>
        <w:rPr>
          <w:szCs w:val="24"/>
          <w:lang w:val="fr-FR"/>
        </w:rPr>
      </w:pPr>
      <w:r w:rsidRPr="00EE24C8">
        <w:rPr>
          <w:bCs/>
          <w:szCs w:val="24"/>
          <w:lang w:val="fr-FR"/>
        </w:rPr>
        <w:t>L’</w:t>
      </w:r>
      <w:r w:rsidRPr="00EE24C8">
        <w:rPr>
          <w:rStyle w:val="lev"/>
          <w:bCs/>
          <w:szCs w:val="24"/>
          <w:lang w:val="fr-FR"/>
        </w:rPr>
        <w:t>intitulé</w:t>
      </w:r>
      <w:r w:rsidRPr="00EE24C8">
        <w:rPr>
          <w:rStyle w:val="lev"/>
          <w:szCs w:val="24"/>
          <w:lang w:val="fr-FR"/>
        </w:rPr>
        <w:t xml:space="preserve"> du marché</w:t>
      </w:r>
      <w:r w:rsidRPr="00EE24C8">
        <w:rPr>
          <w:szCs w:val="24"/>
          <w:lang w:val="fr-FR"/>
        </w:rPr>
        <w:t xml:space="preserve"> et la </w:t>
      </w:r>
      <w:r w:rsidRPr="00EE24C8">
        <w:rPr>
          <w:rStyle w:val="lev"/>
          <w:szCs w:val="24"/>
          <w:lang w:val="fr-FR"/>
        </w:rPr>
        <w:t>référence de la publication</w:t>
      </w:r>
      <w:r w:rsidRPr="00EE24C8">
        <w:rPr>
          <w:szCs w:val="24"/>
          <w:lang w:val="fr-FR"/>
        </w:rPr>
        <w:t xml:space="preserve"> doivent être mentionnés sur l’enveloppe contenant l’offre et dans toute correspondance ultérieure avec le maître d’ouvrage.</w:t>
      </w:r>
    </w:p>
    <w:p w14:paraId="211CE643" w14:textId="77777777" w:rsidR="00C300E4" w:rsidRPr="00EE24C8" w:rsidRDefault="00C300E4" w:rsidP="00C300E4">
      <w:pPr>
        <w:pStyle w:val="Blockquote"/>
        <w:ind w:left="0" w:right="26"/>
        <w:jc w:val="both"/>
        <w:rPr>
          <w:rStyle w:val="lev"/>
          <w:b w:val="0"/>
          <w:szCs w:val="24"/>
          <w:lang w:val="fr-FR"/>
        </w:rPr>
      </w:pPr>
      <w:r w:rsidRPr="00EE24C8">
        <w:rPr>
          <w:rStyle w:val="lev"/>
          <w:szCs w:val="24"/>
          <w:lang w:val="fr-FR"/>
        </w:rPr>
        <w:t>Les offres soumises par d’autres moyens ne seront pas prises en considération.</w:t>
      </w:r>
    </w:p>
    <w:p w14:paraId="6CBA58DA" w14:textId="77777777" w:rsidR="00C300E4" w:rsidRDefault="00C300E4" w:rsidP="00B82EC9">
      <w:pPr>
        <w:pStyle w:val="Blockquote"/>
        <w:spacing w:after="0"/>
        <w:ind w:left="0" w:right="26"/>
        <w:jc w:val="both"/>
        <w:rPr>
          <w:szCs w:val="24"/>
          <w:lang w:val="fr-FR"/>
        </w:rPr>
      </w:pPr>
      <w:r w:rsidRPr="00EE24C8">
        <w:rPr>
          <w:szCs w:val="24"/>
          <w:lang w:val="fr-FR"/>
        </w:rPr>
        <w:t>En soumettant une offre, les soumissionnaires acceptent d'être informés des résultats de la procédure par voie électronique. Cette notification est réputée avoir été reçue à la date à laquelle le maître d’ouvrage l'a envoyée à l'adresse électronique indiquée dans l’offre.</w:t>
      </w:r>
    </w:p>
    <w:p w14:paraId="43EF8C18" w14:textId="77777777" w:rsidR="00C300E4" w:rsidRPr="00EE24C8" w:rsidRDefault="00C300E4" w:rsidP="00B82EC9">
      <w:pPr>
        <w:pStyle w:val="Blockquote"/>
        <w:spacing w:before="0" w:after="0"/>
        <w:ind w:left="0" w:right="26"/>
        <w:jc w:val="both"/>
        <w:rPr>
          <w:szCs w:val="24"/>
          <w:lang w:val="fr-FR"/>
        </w:rPr>
      </w:pPr>
    </w:p>
    <w:p w14:paraId="57DE59F2" w14:textId="77777777" w:rsidR="00C300E4" w:rsidRPr="00EE24C8" w:rsidRDefault="00C300E4" w:rsidP="00B82EC9">
      <w:pPr>
        <w:pStyle w:val="Titre1"/>
        <w:keepLines w:val="0"/>
        <w:widowControl w:val="0"/>
        <w:suppressAutoHyphens/>
        <w:spacing w:before="0" w:after="100" w:line="240" w:lineRule="auto"/>
        <w:jc w:val="both"/>
        <w:rPr>
          <w:rStyle w:val="lev"/>
          <w:rFonts w:ascii="Times New Roman" w:eastAsiaTheme="minorHAnsi" w:hAnsi="Times New Roman" w:cs="Times New Roman"/>
          <w:color w:val="auto"/>
          <w:sz w:val="24"/>
          <w:szCs w:val="24"/>
        </w:rPr>
      </w:pPr>
      <w:r w:rsidRPr="00EE24C8">
        <w:rPr>
          <w:rStyle w:val="lev"/>
          <w:rFonts w:ascii="Times New Roman" w:eastAsiaTheme="minorHAnsi" w:hAnsi="Times New Roman" w:cs="Times New Roman"/>
          <w:color w:val="auto"/>
          <w:sz w:val="24"/>
          <w:szCs w:val="24"/>
        </w:rPr>
        <w:t>19. Séance d’ouverture des plis</w:t>
      </w:r>
    </w:p>
    <w:p w14:paraId="54DFAD88" w14:textId="77777777" w:rsidR="00C300E4" w:rsidRPr="00EE24C8" w:rsidRDefault="00C300E4" w:rsidP="00C300E4">
      <w:pPr>
        <w:pStyle w:val="Blockquote"/>
        <w:spacing w:before="0" w:after="0"/>
        <w:ind w:left="0" w:right="0"/>
        <w:jc w:val="both"/>
        <w:rPr>
          <w:szCs w:val="24"/>
          <w:lang w:val="fr-FR"/>
        </w:rPr>
      </w:pPr>
      <w:r w:rsidRPr="00EE24C8">
        <w:rPr>
          <w:szCs w:val="24"/>
          <w:lang w:val="fr-FR"/>
        </w:rPr>
        <w:t xml:space="preserve">La séance d’ouverture des plis est publique. Elle aura lieu le </w:t>
      </w:r>
      <w:proofErr w:type="gramStart"/>
      <w:r>
        <w:rPr>
          <w:b/>
          <w:bCs/>
          <w:szCs w:val="24"/>
          <w:lang w:val="fr-FR"/>
        </w:rPr>
        <w:t>Vendredi</w:t>
      </w:r>
      <w:proofErr w:type="gramEnd"/>
      <w:r>
        <w:rPr>
          <w:b/>
          <w:bCs/>
          <w:szCs w:val="24"/>
          <w:lang w:val="fr-FR"/>
        </w:rPr>
        <w:t xml:space="preserve"> 05 </w:t>
      </w:r>
      <w:proofErr w:type="gramStart"/>
      <w:r>
        <w:rPr>
          <w:b/>
          <w:bCs/>
          <w:szCs w:val="24"/>
          <w:lang w:val="fr-FR"/>
        </w:rPr>
        <w:t>Septembre</w:t>
      </w:r>
      <w:proofErr w:type="gramEnd"/>
      <w:r w:rsidRPr="00EE24C8">
        <w:rPr>
          <w:b/>
          <w:bCs/>
          <w:szCs w:val="24"/>
          <w:lang w:val="fr-FR"/>
        </w:rPr>
        <w:t xml:space="preserve"> 2025 à 10h 30 minutes GMT</w:t>
      </w:r>
      <w:r w:rsidRPr="00EE24C8">
        <w:rPr>
          <w:szCs w:val="24"/>
          <w:lang w:val="fr-FR"/>
        </w:rPr>
        <w:t>.</w:t>
      </w:r>
    </w:p>
    <w:p w14:paraId="24111B37" w14:textId="77777777" w:rsidR="00C300E4" w:rsidRPr="00EE24C8" w:rsidRDefault="00C300E4" w:rsidP="00C300E4">
      <w:pPr>
        <w:pStyle w:val="Blockquote"/>
        <w:spacing w:before="0" w:after="0"/>
        <w:ind w:left="0" w:right="0"/>
        <w:jc w:val="both"/>
        <w:rPr>
          <w:szCs w:val="24"/>
          <w:lang w:val="fr-FR"/>
        </w:rPr>
      </w:pPr>
    </w:p>
    <w:p w14:paraId="3F4DDA88" w14:textId="77777777" w:rsidR="00C300E4" w:rsidRPr="00EE24C8" w:rsidRDefault="00C300E4" w:rsidP="00C300E4">
      <w:pPr>
        <w:jc w:val="both"/>
        <w:rPr>
          <w:rStyle w:val="lev"/>
        </w:rPr>
      </w:pPr>
      <w:r w:rsidRPr="00EE24C8">
        <w:rPr>
          <w:rStyle w:val="lev"/>
        </w:rPr>
        <w:t xml:space="preserve">20. </w:t>
      </w:r>
      <w:proofErr w:type="gramStart"/>
      <w:r w:rsidRPr="00EE24C8">
        <w:rPr>
          <w:rStyle w:val="lev"/>
        </w:rPr>
        <w:t>Debriefing</w:t>
      </w:r>
      <w:proofErr w:type="gramEnd"/>
    </w:p>
    <w:p w14:paraId="28C56D2C" w14:textId="77777777" w:rsidR="00C300E4" w:rsidRPr="00EE24C8" w:rsidRDefault="00C300E4" w:rsidP="008F2612">
      <w:pPr>
        <w:spacing w:before="240"/>
        <w:jc w:val="both"/>
        <w:rPr>
          <w:bCs/>
        </w:rPr>
      </w:pPr>
      <w:r w:rsidRPr="00EE24C8">
        <w:rPr>
          <w:bCs/>
        </w:rPr>
        <w:t>Toute entreprise qui souhaite connaître les raisons pour lesquelles son offre n’a pas été retenue doit en faire la demande. L’autorité contractante communiquera dans les plus brefs délais par écrit l’explication du rejet de la proposition. Si le soumissionnaire fait la demande d’assister à une réunion de débriefing, il devra en assumer tous les coûts.</w:t>
      </w:r>
    </w:p>
    <w:p w14:paraId="38F9FBB0" w14:textId="77777777" w:rsidR="00C300E4" w:rsidRPr="00EE24C8" w:rsidRDefault="00C300E4" w:rsidP="00C300E4">
      <w:pPr>
        <w:jc w:val="both"/>
        <w:rPr>
          <w:bCs/>
        </w:rPr>
      </w:pPr>
    </w:p>
    <w:p w14:paraId="69396C72" w14:textId="77777777" w:rsidR="00C300E4" w:rsidRPr="00EE24C8" w:rsidRDefault="00C300E4" w:rsidP="00C300E4">
      <w:pPr>
        <w:jc w:val="both"/>
        <w:rPr>
          <w:b/>
        </w:rPr>
      </w:pPr>
      <w:r w:rsidRPr="00EE24C8">
        <w:rPr>
          <w:rStyle w:val="lev"/>
        </w:rPr>
        <w:t>21. Langue de la procédure</w:t>
      </w:r>
    </w:p>
    <w:p w14:paraId="5B0245A0" w14:textId="77777777" w:rsidR="00C300E4" w:rsidRPr="00EE24C8" w:rsidRDefault="00C300E4" w:rsidP="008F261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before="240"/>
        <w:jc w:val="both"/>
        <w:rPr>
          <w:rStyle w:val="lev"/>
          <w:rFonts w:ascii="Times New Roman" w:hAnsi="Times New Roman"/>
          <w:b w:val="0"/>
          <w:sz w:val="24"/>
          <w:szCs w:val="24"/>
          <w:lang w:val="fr-FR"/>
        </w:rPr>
      </w:pPr>
      <w:r w:rsidRPr="00EE24C8">
        <w:rPr>
          <w:rStyle w:val="lev"/>
          <w:rFonts w:ascii="Times New Roman" w:hAnsi="Times New Roman"/>
          <w:sz w:val="24"/>
          <w:szCs w:val="24"/>
          <w:lang w:val="fr-FR"/>
        </w:rPr>
        <w:t>Toutes les communications écrites de cette appel d‘offres doivent être faites en français.</w:t>
      </w:r>
    </w:p>
    <w:p w14:paraId="013600C4" w14:textId="77777777" w:rsidR="00C300E4" w:rsidRPr="00EE24C8" w:rsidRDefault="00C300E4" w:rsidP="00C300E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Style w:val="lev"/>
          <w:rFonts w:ascii="Times New Roman" w:hAnsi="Times New Roman"/>
          <w:b w:val="0"/>
          <w:sz w:val="24"/>
          <w:szCs w:val="24"/>
          <w:lang w:val="fr-FR"/>
        </w:rPr>
      </w:pPr>
    </w:p>
    <w:p w14:paraId="0FC8196D" w14:textId="77777777" w:rsidR="00C300E4" w:rsidRPr="00EE24C8" w:rsidRDefault="00C300E4" w:rsidP="00C300E4">
      <w:pPr>
        <w:jc w:val="both"/>
        <w:rPr>
          <w:b/>
        </w:rPr>
      </w:pPr>
      <w:r w:rsidRPr="00EE24C8">
        <w:rPr>
          <w:rStyle w:val="lev"/>
        </w:rPr>
        <w:t>22. Base juridique</w:t>
      </w:r>
    </w:p>
    <w:p w14:paraId="0A842340" w14:textId="77777777" w:rsidR="00C300E4" w:rsidRPr="006B7034" w:rsidRDefault="00C300E4" w:rsidP="00B82EC9">
      <w:pPr>
        <w:spacing w:before="240"/>
        <w:jc w:val="both"/>
        <w:rPr>
          <w:rStyle w:val="Lienhypertexte"/>
          <w:rFonts w:eastAsiaTheme="majorEastAsia"/>
        </w:rPr>
      </w:pPr>
      <w:r w:rsidRPr="00B82EC9">
        <w:rPr>
          <w:rStyle w:val="lev"/>
          <w:b w:val="0"/>
          <w:bCs/>
        </w:rPr>
        <w:t>Le</w:t>
      </w:r>
      <w:r w:rsidRPr="00EE24C8">
        <w:rPr>
          <w:rStyle w:val="lev"/>
        </w:rPr>
        <w:t xml:space="preserve"> </w:t>
      </w:r>
      <w:r w:rsidRPr="00EE24C8">
        <w:t xml:space="preserve">Guide des Procédures de passation des marchés et règles d'attribution des contrats de la BOAD disponible sur le site web </w:t>
      </w:r>
      <w:r w:rsidRPr="00EE24C8">
        <w:fldChar w:fldCharType="begin"/>
      </w:r>
      <w:r w:rsidRPr="00EE24C8">
        <w:instrText>HYPERLINK "http://www.boad.org/politiques-procedures-directives/"</w:instrText>
      </w:r>
      <w:r w:rsidRPr="00EE24C8">
        <w:fldChar w:fldCharType="separate"/>
      </w:r>
      <w:r w:rsidRPr="006B7034">
        <w:t xml:space="preserve"> </w:t>
      </w:r>
      <w:r w:rsidRPr="006B7034">
        <w:rPr>
          <w:rStyle w:val="Lienhypertexte"/>
          <w:rFonts w:eastAsiaTheme="majorEastAsia"/>
        </w:rPr>
        <w:t>https://www.boad.org/fr/opportunites/documentation-passation­</w:t>
      </w:r>
    </w:p>
    <w:p w14:paraId="0A48F328" w14:textId="77777777" w:rsidR="00C300E4" w:rsidRPr="00EE24C8" w:rsidRDefault="00C300E4" w:rsidP="00C300E4">
      <w:pPr>
        <w:jc w:val="both"/>
      </w:pPr>
      <w:proofErr w:type="spellStart"/>
      <w:r w:rsidRPr="006B7034">
        <w:rPr>
          <w:rStyle w:val="Lienhypertexte"/>
          <w:rFonts w:eastAsiaTheme="majorEastAsia"/>
        </w:rPr>
        <w:t>de-marches</w:t>
      </w:r>
      <w:proofErr w:type="spellEnd"/>
      <w:r w:rsidRPr="006B7034">
        <w:rPr>
          <w:rStyle w:val="Lienhypertexte"/>
          <w:rFonts w:eastAsiaTheme="majorEastAsia"/>
        </w:rPr>
        <w:t xml:space="preserve">/. </w:t>
      </w:r>
      <w:r w:rsidRPr="00EE24C8">
        <w:fldChar w:fldCharType="end"/>
      </w:r>
    </w:p>
    <w:p w14:paraId="2BA4F766" w14:textId="77777777" w:rsidR="00C300E4" w:rsidRPr="00EE24C8" w:rsidRDefault="00C300E4" w:rsidP="00C300E4">
      <w:pPr>
        <w:jc w:val="both"/>
      </w:pPr>
    </w:p>
    <w:p w14:paraId="63F3D561" w14:textId="750AD0D7" w:rsidR="009039E9" w:rsidRDefault="00C300E4" w:rsidP="00B82EC9">
      <w:pPr>
        <w:spacing w:after="160" w:line="259" w:lineRule="auto"/>
        <w:jc w:val="both"/>
        <w:rPr>
          <w:rFonts w:eastAsia="Calibri"/>
          <w:b/>
          <w:bCs/>
          <w:lang w:eastAsia="en-US"/>
        </w:rPr>
      </w:pPr>
      <w:r w:rsidRPr="00EE24C8">
        <w:rPr>
          <w:b/>
        </w:rPr>
        <w:t>N.B</w:t>
      </w:r>
      <w:r w:rsidRPr="00EE24C8">
        <w:t>. L’Autorité contractante se réserve le droit de ne pas donner suite au présent avis d’appel d’offres</w:t>
      </w:r>
      <w:r w:rsidR="00B82EC9">
        <w:t>.</w:t>
      </w:r>
    </w:p>
    <w:p w14:paraId="3A72318C" w14:textId="7951C7C6" w:rsidR="009039E9" w:rsidRDefault="009039E9" w:rsidP="001B60F0">
      <w:pPr>
        <w:spacing w:after="200" w:line="276" w:lineRule="auto"/>
        <w:ind w:left="4956"/>
        <w:jc w:val="both"/>
        <w:rPr>
          <w:rFonts w:eastAsia="Calibri"/>
          <w:b/>
          <w:bCs/>
          <w:lang w:eastAsia="en-US"/>
        </w:rPr>
      </w:pPr>
      <w:r>
        <w:rPr>
          <w:rFonts w:eastAsia="Calibri"/>
          <w:b/>
          <w:bCs/>
          <w:lang w:eastAsia="en-US"/>
        </w:rPr>
        <w:t>Lomé, le 04 juillet 2025</w:t>
      </w:r>
    </w:p>
    <w:tbl>
      <w:tblPr>
        <w:tblStyle w:val="Grilledutableau"/>
        <w:tblW w:w="4110" w:type="dxa"/>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C300E4" w14:paraId="733736B6" w14:textId="77777777" w:rsidTr="00B82EC9">
        <w:tc>
          <w:tcPr>
            <w:tcW w:w="4110" w:type="dxa"/>
          </w:tcPr>
          <w:p w14:paraId="040C9EDD" w14:textId="46948174" w:rsidR="00C300E4" w:rsidRDefault="00C300E4" w:rsidP="00C300E4">
            <w:pPr>
              <w:spacing w:after="200" w:line="276" w:lineRule="auto"/>
              <w:jc w:val="both"/>
              <w:rPr>
                <w:rFonts w:eastAsia="Calibri"/>
                <w:b/>
                <w:bCs/>
                <w:lang w:eastAsia="en-US"/>
              </w:rPr>
            </w:pPr>
            <w:r>
              <w:rPr>
                <w:rFonts w:eastAsia="Calibri"/>
                <w:b/>
                <w:bCs/>
                <w:lang w:eastAsia="en-US"/>
              </w:rPr>
              <w:t>La Personne Responsable des Marchés Publics</w:t>
            </w:r>
          </w:p>
        </w:tc>
      </w:tr>
      <w:tr w:rsidR="00C300E4" w14:paraId="71FD8182" w14:textId="77777777" w:rsidTr="00B82EC9">
        <w:tc>
          <w:tcPr>
            <w:tcW w:w="4110" w:type="dxa"/>
          </w:tcPr>
          <w:p w14:paraId="1C3519DE" w14:textId="77777777" w:rsidR="00014880" w:rsidRDefault="00014880" w:rsidP="009039E9">
            <w:pPr>
              <w:spacing w:after="200" w:line="276" w:lineRule="auto"/>
              <w:jc w:val="both"/>
              <w:rPr>
                <w:rFonts w:eastAsia="Calibri"/>
                <w:b/>
                <w:bCs/>
                <w:sz w:val="10"/>
                <w:szCs w:val="10"/>
                <w:lang w:eastAsia="en-US"/>
              </w:rPr>
            </w:pPr>
          </w:p>
          <w:p w14:paraId="283AC753" w14:textId="77777777" w:rsidR="00B82EC9" w:rsidRPr="00B82EC9" w:rsidRDefault="00B82EC9" w:rsidP="009039E9">
            <w:pPr>
              <w:spacing w:after="200" w:line="276" w:lineRule="auto"/>
              <w:jc w:val="both"/>
              <w:rPr>
                <w:rFonts w:eastAsia="Calibri"/>
                <w:b/>
                <w:bCs/>
                <w:sz w:val="2"/>
                <w:szCs w:val="2"/>
                <w:lang w:eastAsia="en-US"/>
              </w:rPr>
            </w:pPr>
          </w:p>
        </w:tc>
      </w:tr>
      <w:tr w:rsidR="00C300E4" w14:paraId="2CEC82E2" w14:textId="77777777" w:rsidTr="00B82EC9">
        <w:tc>
          <w:tcPr>
            <w:tcW w:w="4110" w:type="dxa"/>
          </w:tcPr>
          <w:p w14:paraId="255E4792" w14:textId="205618EE" w:rsidR="00C300E4" w:rsidRDefault="00C300E4" w:rsidP="00B82EC9">
            <w:pPr>
              <w:spacing w:line="276" w:lineRule="auto"/>
              <w:jc w:val="both"/>
              <w:rPr>
                <w:rFonts w:eastAsia="Calibri"/>
                <w:b/>
                <w:bCs/>
                <w:lang w:eastAsia="en-US"/>
              </w:rPr>
            </w:pPr>
            <w:r>
              <w:rPr>
                <w:rFonts w:eastAsia="Calibri"/>
                <w:b/>
                <w:bCs/>
                <w:lang w:eastAsia="en-US"/>
              </w:rPr>
              <w:t xml:space="preserve">AYIVOR </w:t>
            </w:r>
            <w:proofErr w:type="spellStart"/>
            <w:r>
              <w:rPr>
                <w:rFonts w:eastAsia="Calibri"/>
                <w:b/>
                <w:bCs/>
                <w:lang w:eastAsia="en-US"/>
              </w:rPr>
              <w:t>Afiwa</w:t>
            </w:r>
            <w:proofErr w:type="spellEnd"/>
          </w:p>
        </w:tc>
      </w:tr>
    </w:tbl>
    <w:p w14:paraId="62AD9326" w14:textId="004D5EDB" w:rsidR="000908F9" w:rsidRPr="000908F9" w:rsidRDefault="000908F9" w:rsidP="00B82EC9">
      <w:pPr>
        <w:tabs>
          <w:tab w:val="left" w:pos="2112"/>
        </w:tabs>
        <w:rPr>
          <w:rFonts w:eastAsia="Calibri"/>
          <w:lang w:eastAsia="en-US"/>
        </w:rPr>
      </w:pPr>
    </w:p>
    <w:sectPr w:rsidR="000908F9" w:rsidRPr="000908F9" w:rsidSect="00014880">
      <w:footerReference w:type="default" r:id="rId11"/>
      <w:pgSz w:w="11906" w:h="16838"/>
      <w:pgMar w:top="851" w:right="1080" w:bottom="284" w:left="1080" w:header="113" w:footer="1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4D973" w14:textId="77777777" w:rsidR="008766DA" w:rsidRDefault="008766DA">
      <w:r>
        <w:separator/>
      </w:r>
    </w:p>
  </w:endnote>
  <w:endnote w:type="continuationSeparator" w:id="0">
    <w:p w14:paraId="78F4F034" w14:textId="77777777" w:rsidR="008766DA" w:rsidRDefault="00876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15D68" w14:textId="77777777" w:rsidR="008C33E6" w:rsidRPr="000A58E9" w:rsidRDefault="00966E88" w:rsidP="007B4264">
    <w:pPr>
      <w:pBdr>
        <w:top w:val="single" w:sz="4" w:space="1" w:color="auto"/>
      </w:pBdr>
      <w:spacing w:after="120"/>
      <w:jc w:val="center"/>
      <w:rPr>
        <w:rFonts w:ascii="Arial" w:hAnsi="Arial" w:cs="Arial"/>
        <w:color w:val="002060"/>
        <w:sz w:val="18"/>
        <w:szCs w:val="20"/>
        <w:lang w:eastAsia="de-DE"/>
      </w:rPr>
    </w:pPr>
    <w:r w:rsidRPr="0060178E">
      <w:rPr>
        <w:rFonts w:ascii="Arial" w:hAnsi="Arial" w:cs="Arial"/>
        <w:color w:val="002060"/>
        <w:sz w:val="18"/>
        <w:szCs w:val="20"/>
        <w:lang w:eastAsia="de-DE"/>
      </w:rPr>
      <w:t>Adresse : 14 BP : 128 Lomé–Togo |</w:t>
    </w:r>
    <w:r>
      <w:rPr>
        <w:rFonts w:ascii="Arial" w:hAnsi="Arial" w:cs="Arial"/>
        <w:color w:val="002060"/>
        <w:sz w:val="18"/>
        <w:szCs w:val="20"/>
        <w:lang w:eastAsia="de-DE"/>
      </w:rPr>
      <w:t xml:space="preserve"> Contact</w:t>
    </w:r>
    <w:r w:rsidRPr="0060178E">
      <w:rPr>
        <w:rFonts w:ascii="Arial" w:hAnsi="Arial" w:cs="Arial"/>
        <w:color w:val="002060"/>
        <w:sz w:val="18"/>
        <w:szCs w:val="20"/>
        <w:lang w:eastAsia="de-DE"/>
      </w:rPr>
      <w:t> : +228 22 21 21 44</w:t>
    </w:r>
    <w:r>
      <w:rPr>
        <w:rFonts w:ascii="Arial" w:hAnsi="Arial" w:cs="Arial"/>
        <w:color w:val="002060"/>
        <w:sz w:val="18"/>
        <w:szCs w:val="20"/>
        <w:lang w:eastAsia="de-DE"/>
      </w:rPr>
      <w:t xml:space="preserve"> |</w:t>
    </w:r>
    <w:r w:rsidRPr="0060178E">
      <w:rPr>
        <w:rFonts w:ascii="Arial" w:hAnsi="Arial" w:cs="Arial"/>
        <w:color w:val="002060"/>
        <w:sz w:val="18"/>
        <w:szCs w:val="20"/>
        <w:lang w:eastAsia="de-DE"/>
      </w:rPr>
      <w:t xml:space="preserve"> </w:t>
    </w:r>
    <w:hyperlink r:id="rId1" w:history="1">
      <w:r w:rsidRPr="00FB08F0">
        <w:rPr>
          <w:rStyle w:val="Lienhypertexte"/>
          <w:rFonts w:ascii="Arial" w:hAnsi="Arial" w:cs="Arial"/>
          <w:szCs w:val="20"/>
          <w:lang w:eastAsia="de-DE"/>
        </w:rPr>
        <w:t>secretariat@at2er.tg |</w:t>
      </w:r>
    </w:hyperlink>
    <w:r w:rsidRPr="0060178E">
      <w:rPr>
        <w:rFonts w:ascii="Arial" w:hAnsi="Arial" w:cs="Arial"/>
        <w:color w:val="002060"/>
        <w:sz w:val="18"/>
        <w:szCs w:val="20"/>
        <w:lang w:eastAsia="de-DE"/>
      </w:rPr>
      <w:t xml:space="preserve"> </w:t>
    </w:r>
    <w:r>
      <w:rPr>
        <w:rFonts w:ascii="Arial" w:hAnsi="Arial" w:cs="Arial"/>
        <w:color w:val="002060"/>
        <w:sz w:val="18"/>
        <w:szCs w:val="20"/>
        <w:lang w:eastAsia="de-DE"/>
      </w:rPr>
      <w:t>Fax : +228 22 21 21 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8C37B" w14:textId="77777777" w:rsidR="008766DA" w:rsidRDefault="008766DA">
      <w:r>
        <w:separator/>
      </w:r>
    </w:p>
  </w:footnote>
  <w:footnote w:type="continuationSeparator" w:id="0">
    <w:p w14:paraId="6E2EE83E" w14:textId="77777777" w:rsidR="008766DA" w:rsidRDefault="00876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4"/>
    <w:multiLevelType w:val="singleLevel"/>
    <w:tmpl w:val="00000004"/>
    <w:name w:val="WW8Num4"/>
    <w:lvl w:ilvl="0">
      <w:start w:val="1"/>
      <w:numFmt w:val="decimal"/>
      <w:pStyle w:val="AnnIIsousretrait1"/>
      <w:lvlText w:val="%1)"/>
      <w:lvlJc w:val="left"/>
      <w:pPr>
        <w:tabs>
          <w:tab w:val="num" w:pos="360"/>
        </w:tabs>
        <w:ind w:left="360" w:hanging="360"/>
      </w:pPr>
    </w:lvl>
  </w:abstractNum>
  <w:abstractNum w:abstractNumId="2" w15:restartNumberingAfterBreak="0">
    <w:nsid w:val="009A3824"/>
    <w:multiLevelType w:val="hybridMultilevel"/>
    <w:tmpl w:val="2A46295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1D337F4"/>
    <w:multiLevelType w:val="hybridMultilevel"/>
    <w:tmpl w:val="0AFE3280"/>
    <w:lvl w:ilvl="0" w:tplc="04090017">
      <w:start w:val="1"/>
      <w:numFmt w:val="lowerLetter"/>
      <w:lvlText w:val="%1)"/>
      <w:lvlJc w:val="left"/>
      <w:pPr>
        <w:ind w:left="720" w:hanging="360"/>
      </w:pPr>
      <w:rPr>
        <w:rFonts w:hint="default"/>
        <w:b w:val="0"/>
        <w:i w:val="0"/>
      </w:rPr>
    </w:lvl>
    <w:lvl w:ilvl="1" w:tplc="040C0019">
      <w:start w:val="1"/>
      <w:numFmt w:val="lowerLetter"/>
      <w:lvlText w:val="(%2)"/>
      <w:lvlJc w:val="left"/>
      <w:pPr>
        <w:ind w:left="1440" w:hanging="360"/>
      </w:pPr>
      <w:rPr>
        <w:rFonts w:hint="default"/>
        <w:b/>
      </w:rPr>
    </w:lvl>
    <w:lvl w:ilvl="2" w:tplc="040C001B">
      <w:start w:val="1"/>
      <w:numFmt w:val="lowerRoman"/>
      <w:lvlText w:val="%3."/>
      <w:lvlJc w:val="right"/>
      <w:pPr>
        <w:ind w:left="2160" w:hanging="180"/>
      </w:pPr>
    </w:lvl>
    <w:lvl w:ilvl="3" w:tplc="040C000F">
      <w:start w:val="1"/>
      <w:numFmt w:val="lowerRoman"/>
      <w:lvlText w:val="(%4)"/>
      <w:lvlJc w:val="left"/>
      <w:pPr>
        <w:ind w:left="2880" w:hanging="360"/>
      </w:pPr>
      <w:rPr>
        <w:rFonts w:hint="default"/>
        <w:b w:val="0"/>
        <w:i w:val="0"/>
      </w:rPr>
    </w:lvl>
    <w:lvl w:ilvl="4" w:tplc="A55C4D12">
      <w:start w:val="10"/>
      <w:numFmt w:val="upperLetter"/>
      <w:lvlText w:val="%5."/>
      <w:lvlJc w:val="left"/>
      <w:pPr>
        <w:ind w:left="3600" w:hanging="360"/>
      </w:pPr>
      <w:rPr>
        <w:rFonts w:hint="default"/>
      </w:rPr>
    </w:lvl>
    <w:lvl w:ilvl="5" w:tplc="2ED4D67A">
      <w:start w:val="1"/>
      <w:numFmt w:val="decimal"/>
      <w:lvlText w:val="%6."/>
      <w:lvlJc w:val="left"/>
      <w:pPr>
        <w:ind w:left="644" w:hanging="360"/>
      </w:pPr>
      <w:rPr>
        <w:rFonts w:hint="default"/>
        <w:b w:val="0"/>
        <w:bCs/>
      </w:rPr>
    </w:lvl>
    <w:lvl w:ilvl="6" w:tplc="3BE42AB8">
      <w:numFmt w:val="bullet"/>
      <w:lvlText w:val="-"/>
      <w:lvlJc w:val="left"/>
      <w:pPr>
        <w:ind w:left="5040" w:hanging="360"/>
      </w:pPr>
      <w:rPr>
        <w:rFonts w:ascii="Times New Roman" w:eastAsia="Times New Roman" w:hAnsi="Times New Roman" w:cs="Times New Roman" w:hint="default"/>
      </w:r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6731E7B"/>
    <w:multiLevelType w:val="hybridMultilevel"/>
    <w:tmpl w:val="BC801960"/>
    <w:lvl w:ilvl="0" w:tplc="9DBA64C2">
      <w:numFmt w:val="bullet"/>
      <w:lvlText w:val="-"/>
      <w:lvlJc w:val="left"/>
      <w:pPr>
        <w:ind w:left="900" w:hanging="360"/>
      </w:pPr>
      <w:rPr>
        <w:rFonts w:ascii="Arial" w:eastAsia="Calibri" w:hAnsi="Arial" w:cs="Aria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5" w15:restartNumberingAfterBreak="0">
    <w:nsid w:val="08902FA4"/>
    <w:multiLevelType w:val="hybridMultilevel"/>
    <w:tmpl w:val="512A1954"/>
    <w:lvl w:ilvl="0" w:tplc="4148F27E">
      <w:numFmt w:val="bullet"/>
      <w:lvlText w:val="-"/>
      <w:lvlJc w:val="left"/>
      <w:pPr>
        <w:ind w:left="1010" w:hanging="360"/>
      </w:pPr>
      <w:rPr>
        <w:rFonts w:ascii="Arial" w:eastAsia="Times New Roman" w:hAnsi="Arial" w:cs="Arial" w:hint="default"/>
      </w:rPr>
    </w:lvl>
    <w:lvl w:ilvl="1" w:tplc="040C0003" w:tentative="1">
      <w:start w:val="1"/>
      <w:numFmt w:val="bullet"/>
      <w:lvlText w:val="o"/>
      <w:lvlJc w:val="left"/>
      <w:pPr>
        <w:ind w:left="1730" w:hanging="360"/>
      </w:pPr>
      <w:rPr>
        <w:rFonts w:ascii="Courier New" w:hAnsi="Courier New" w:cs="Courier New" w:hint="default"/>
      </w:rPr>
    </w:lvl>
    <w:lvl w:ilvl="2" w:tplc="040C0005" w:tentative="1">
      <w:start w:val="1"/>
      <w:numFmt w:val="bullet"/>
      <w:lvlText w:val=""/>
      <w:lvlJc w:val="left"/>
      <w:pPr>
        <w:ind w:left="2450" w:hanging="360"/>
      </w:pPr>
      <w:rPr>
        <w:rFonts w:ascii="Wingdings" w:hAnsi="Wingdings" w:hint="default"/>
      </w:rPr>
    </w:lvl>
    <w:lvl w:ilvl="3" w:tplc="040C0001" w:tentative="1">
      <w:start w:val="1"/>
      <w:numFmt w:val="bullet"/>
      <w:lvlText w:val=""/>
      <w:lvlJc w:val="left"/>
      <w:pPr>
        <w:ind w:left="3170" w:hanging="360"/>
      </w:pPr>
      <w:rPr>
        <w:rFonts w:ascii="Symbol" w:hAnsi="Symbol" w:hint="default"/>
      </w:rPr>
    </w:lvl>
    <w:lvl w:ilvl="4" w:tplc="040C0003" w:tentative="1">
      <w:start w:val="1"/>
      <w:numFmt w:val="bullet"/>
      <w:lvlText w:val="o"/>
      <w:lvlJc w:val="left"/>
      <w:pPr>
        <w:ind w:left="3890" w:hanging="360"/>
      </w:pPr>
      <w:rPr>
        <w:rFonts w:ascii="Courier New" w:hAnsi="Courier New" w:cs="Courier New" w:hint="default"/>
      </w:rPr>
    </w:lvl>
    <w:lvl w:ilvl="5" w:tplc="040C0005" w:tentative="1">
      <w:start w:val="1"/>
      <w:numFmt w:val="bullet"/>
      <w:lvlText w:val=""/>
      <w:lvlJc w:val="left"/>
      <w:pPr>
        <w:ind w:left="4610" w:hanging="360"/>
      </w:pPr>
      <w:rPr>
        <w:rFonts w:ascii="Wingdings" w:hAnsi="Wingdings" w:hint="default"/>
      </w:rPr>
    </w:lvl>
    <w:lvl w:ilvl="6" w:tplc="040C0001" w:tentative="1">
      <w:start w:val="1"/>
      <w:numFmt w:val="bullet"/>
      <w:lvlText w:val=""/>
      <w:lvlJc w:val="left"/>
      <w:pPr>
        <w:ind w:left="5330" w:hanging="360"/>
      </w:pPr>
      <w:rPr>
        <w:rFonts w:ascii="Symbol" w:hAnsi="Symbol" w:hint="default"/>
      </w:rPr>
    </w:lvl>
    <w:lvl w:ilvl="7" w:tplc="040C0003" w:tentative="1">
      <w:start w:val="1"/>
      <w:numFmt w:val="bullet"/>
      <w:lvlText w:val="o"/>
      <w:lvlJc w:val="left"/>
      <w:pPr>
        <w:ind w:left="6050" w:hanging="360"/>
      </w:pPr>
      <w:rPr>
        <w:rFonts w:ascii="Courier New" w:hAnsi="Courier New" w:cs="Courier New" w:hint="default"/>
      </w:rPr>
    </w:lvl>
    <w:lvl w:ilvl="8" w:tplc="040C0005" w:tentative="1">
      <w:start w:val="1"/>
      <w:numFmt w:val="bullet"/>
      <w:lvlText w:val=""/>
      <w:lvlJc w:val="left"/>
      <w:pPr>
        <w:ind w:left="6770" w:hanging="360"/>
      </w:pPr>
      <w:rPr>
        <w:rFonts w:ascii="Wingdings" w:hAnsi="Wingdings" w:hint="default"/>
      </w:rPr>
    </w:lvl>
  </w:abstractNum>
  <w:abstractNum w:abstractNumId="6" w15:restartNumberingAfterBreak="0">
    <w:nsid w:val="097A4581"/>
    <w:multiLevelType w:val="hybridMultilevel"/>
    <w:tmpl w:val="3F6202A0"/>
    <w:lvl w:ilvl="0" w:tplc="32509202">
      <w:start w:val="13"/>
      <w:numFmt w:val="bullet"/>
      <w:lvlText w:val="-"/>
      <w:lvlJc w:val="left"/>
      <w:pPr>
        <w:ind w:left="720" w:hanging="360"/>
      </w:pPr>
      <w:rPr>
        <w:rFonts w:ascii="Arial" w:eastAsia="Calibri"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2D22948"/>
    <w:multiLevelType w:val="hybridMultilevel"/>
    <w:tmpl w:val="E1229B92"/>
    <w:lvl w:ilvl="0" w:tplc="D92018F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A42117"/>
    <w:multiLevelType w:val="hybridMultilevel"/>
    <w:tmpl w:val="43381D40"/>
    <w:lvl w:ilvl="0" w:tplc="D6AC0ACA">
      <w:numFmt w:val="bullet"/>
      <w:lvlText w:val="-"/>
      <w:lvlJc w:val="left"/>
      <w:pPr>
        <w:ind w:left="610" w:hanging="360"/>
      </w:pPr>
      <w:rPr>
        <w:rFonts w:ascii="Arial" w:eastAsia="Times New Roman" w:hAnsi="Arial" w:cs="Arial" w:hint="default"/>
      </w:rPr>
    </w:lvl>
    <w:lvl w:ilvl="1" w:tplc="040C0003" w:tentative="1">
      <w:start w:val="1"/>
      <w:numFmt w:val="bullet"/>
      <w:lvlText w:val="o"/>
      <w:lvlJc w:val="left"/>
      <w:pPr>
        <w:ind w:left="1330" w:hanging="360"/>
      </w:pPr>
      <w:rPr>
        <w:rFonts w:ascii="Courier New" w:hAnsi="Courier New" w:cs="Courier New" w:hint="default"/>
      </w:rPr>
    </w:lvl>
    <w:lvl w:ilvl="2" w:tplc="040C0005" w:tentative="1">
      <w:start w:val="1"/>
      <w:numFmt w:val="bullet"/>
      <w:lvlText w:val=""/>
      <w:lvlJc w:val="left"/>
      <w:pPr>
        <w:ind w:left="2050" w:hanging="360"/>
      </w:pPr>
      <w:rPr>
        <w:rFonts w:ascii="Wingdings" w:hAnsi="Wingdings" w:hint="default"/>
      </w:rPr>
    </w:lvl>
    <w:lvl w:ilvl="3" w:tplc="040C0001" w:tentative="1">
      <w:start w:val="1"/>
      <w:numFmt w:val="bullet"/>
      <w:lvlText w:val=""/>
      <w:lvlJc w:val="left"/>
      <w:pPr>
        <w:ind w:left="2770" w:hanging="360"/>
      </w:pPr>
      <w:rPr>
        <w:rFonts w:ascii="Symbol" w:hAnsi="Symbol" w:hint="default"/>
      </w:rPr>
    </w:lvl>
    <w:lvl w:ilvl="4" w:tplc="040C0003" w:tentative="1">
      <w:start w:val="1"/>
      <w:numFmt w:val="bullet"/>
      <w:lvlText w:val="o"/>
      <w:lvlJc w:val="left"/>
      <w:pPr>
        <w:ind w:left="3490" w:hanging="360"/>
      </w:pPr>
      <w:rPr>
        <w:rFonts w:ascii="Courier New" w:hAnsi="Courier New" w:cs="Courier New" w:hint="default"/>
      </w:rPr>
    </w:lvl>
    <w:lvl w:ilvl="5" w:tplc="040C0005" w:tentative="1">
      <w:start w:val="1"/>
      <w:numFmt w:val="bullet"/>
      <w:lvlText w:val=""/>
      <w:lvlJc w:val="left"/>
      <w:pPr>
        <w:ind w:left="4210" w:hanging="360"/>
      </w:pPr>
      <w:rPr>
        <w:rFonts w:ascii="Wingdings" w:hAnsi="Wingdings" w:hint="default"/>
      </w:rPr>
    </w:lvl>
    <w:lvl w:ilvl="6" w:tplc="040C0001" w:tentative="1">
      <w:start w:val="1"/>
      <w:numFmt w:val="bullet"/>
      <w:lvlText w:val=""/>
      <w:lvlJc w:val="left"/>
      <w:pPr>
        <w:ind w:left="4930" w:hanging="360"/>
      </w:pPr>
      <w:rPr>
        <w:rFonts w:ascii="Symbol" w:hAnsi="Symbol" w:hint="default"/>
      </w:rPr>
    </w:lvl>
    <w:lvl w:ilvl="7" w:tplc="040C0003" w:tentative="1">
      <w:start w:val="1"/>
      <w:numFmt w:val="bullet"/>
      <w:lvlText w:val="o"/>
      <w:lvlJc w:val="left"/>
      <w:pPr>
        <w:ind w:left="5650" w:hanging="360"/>
      </w:pPr>
      <w:rPr>
        <w:rFonts w:ascii="Courier New" w:hAnsi="Courier New" w:cs="Courier New" w:hint="default"/>
      </w:rPr>
    </w:lvl>
    <w:lvl w:ilvl="8" w:tplc="040C0005" w:tentative="1">
      <w:start w:val="1"/>
      <w:numFmt w:val="bullet"/>
      <w:lvlText w:val=""/>
      <w:lvlJc w:val="left"/>
      <w:pPr>
        <w:ind w:left="6370" w:hanging="360"/>
      </w:pPr>
      <w:rPr>
        <w:rFonts w:ascii="Wingdings" w:hAnsi="Wingdings" w:hint="default"/>
      </w:rPr>
    </w:lvl>
  </w:abstractNum>
  <w:abstractNum w:abstractNumId="9" w15:restartNumberingAfterBreak="0">
    <w:nsid w:val="285F7536"/>
    <w:multiLevelType w:val="hybridMultilevel"/>
    <w:tmpl w:val="2C066DFA"/>
    <w:lvl w:ilvl="0" w:tplc="5ED8E58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74365A"/>
    <w:multiLevelType w:val="hybridMultilevel"/>
    <w:tmpl w:val="F2BCA778"/>
    <w:lvl w:ilvl="0" w:tplc="3250AC98">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4ED1FA5"/>
    <w:multiLevelType w:val="multilevel"/>
    <w:tmpl w:val="FDCC0174"/>
    <w:lvl w:ilvl="0">
      <w:start w:val="1"/>
      <w:numFmt w:val="decimal"/>
      <w:lvlText w:val="%1."/>
      <w:lvlJc w:val="left"/>
      <w:pPr>
        <w:tabs>
          <w:tab w:val="num" w:pos="720"/>
        </w:tabs>
        <w:ind w:left="720" w:hanging="720"/>
      </w:pPr>
      <w:rPr>
        <w:rFonts w:hint="default"/>
        <w:b w:val="0"/>
        <w:i w:val="0"/>
      </w:rPr>
    </w:lvl>
    <w:lvl w:ilvl="1">
      <w:start w:val="5"/>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40E95B6B"/>
    <w:multiLevelType w:val="hybridMultilevel"/>
    <w:tmpl w:val="B7108260"/>
    <w:lvl w:ilvl="0" w:tplc="3BE42AB8">
      <w:numFmt w:val="bullet"/>
      <w:lvlText w:val="-"/>
      <w:lvlJc w:val="left"/>
      <w:pPr>
        <w:ind w:left="1440" w:hanging="360"/>
      </w:pPr>
      <w:rPr>
        <w:rFonts w:ascii="Times New Roman" w:eastAsia="Times New Roman" w:hAnsi="Times New Roman"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41481631"/>
    <w:multiLevelType w:val="hybridMultilevel"/>
    <w:tmpl w:val="7D861344"/>
    <w:lvl w:ilvl="0" w:tplc="1E029110">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15:restartNumberingAfterBreak="0">
    <w:nsid w:val="469E66A5"/>
    <w:multiLevelType w:val="hybridMultilevel"/>
    <w:tmpl w:val="2E32824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75257C1"/>
    <w:multiLevelType w:val="hybridMultilevel"/>
    <w:tmpl w:val="815899AE"/>
    <w:lvl w:ilvl="0" w:tplc="D2C2EBB0">
      <w:numFmt w:val="bullet"/>
      <w:lvlText w:val="-"/>
      <w:lvlJc w:val="left"/>
      <w:pPr>
        <w:ind w:left="960" w:hanging="360"/>
      </w:pPr>
      <w:rPr>
        <w:rFonts w:ascii="Arial" w:eastAsia="Times New Roman" w:hAnsi="Arial" w:cs="Arial"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16" w15:restartNumberingAfterBreak="0">
    <w:nsid w:val="66AC1B30"/>
    <w:multiLevelType w:val="hybridMultilevel"/>
    <w:tmpl w:val="0FAEF6BA"/>
    <w:lvl w:ilvl="0" w:tplc="03A8BBDC">
      <w:start w:val="1"/>
      <w:numFmt w:val="decimal"/>
      <w:lvlText w:val="%1."/>
      <w:lvlJc w:val="left"/>
      <w:pPr>
        <w:ind w:left="720" w:hanging="360"/>
      </w:pPr>
      <w:rPr>
        <w:b/>
        <w:bCs w:val="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67F20E94"/>
    <w:multiLevelType w:val="hybridMultilevel"/>
    <w:tmpl w:val="E3AE0EE2"/>
    <w:lvl w:ilvl="0" w:tplc="9A4AB31A">
      <w:start w:val="1"/>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C507FB2"/>
    <w:multiLevelType w:val="hybridMultilevel"/>
    <w:tmpl w:val="9B60448A"/>
    <w:lvl w:ilvl="0" w:tplc="62BA02CC">
      <w:numFmt w:val="bullet"/>
      <w:lvlText w:val="-"/>
      <w:lvlJc w:val="left"/>
      <w:pPr>
        <w:ind w:left="720" w:hanging="360"/>
      </w:pPr>
      <w:rPr>
        <w:rFonts w:ascii="Arial" w:eastAsia="Calibri" w:hAnsi="Arial" w:cs="Aria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FF846FF"/>
    <w:multiLevelType w:val="hybridMultilevel"/>
    <w:tmpl w:val="51164D8E"/>
    <w:lvl w:ilvl="0" w:tplc="A992F7C8">
      <w:numFmt w:val="bullet"/>
      <w:lvlText w:val="-"/>
      <w:lvlJc w:val="left"/>
      <w:pPr>
        <w:ind w:left="970" w:hanging="360"/>
      </w:pPr>
      <w:rPr>
        <w:rFonts w:ascii="Arial" w:eastAsia="Times New Roman" w:hAnsi="Arial" w:cs="Arial" w:hint="default"/>
      </w:rPr>
    </w:lvl>
    <w:lvl w:ilvl="1" w:tplc="040C0003" w:tentative="1">
      <w:start w:val="1"/>
      <w:numFmt w:val="bullet"/>
      <w:lvlText w:val="o"/>
      <w:lvlJc w:val="left"/>
      <w:pPr>
        <w:ind w:left="1690" w:hanging="360"/>
      </w:pPr>
      <w:rPr>
        <w:rFonts w:ascii="Courier New" w:hAnsi="Courier New" w:cs="Courier New" w:hint="default"/>
      </w:rPr>
    </w:lvl>
    <w:lvl w:ilvl="2" w:tplc="040C0005" w:tentative="1">
      <w:start w:val="1"/>
      <w:numFmt w:val="bullet"/>
      <w:lvlText w:val=""/>
      <w:lvlJc w:val="left"/>
      <w:pPr>
        <w:ind w:left="2410" w:hanging="360"/>
      </w:pPr>
      <w:rPr>
        <w:rFonts w:ascii="Wingdings" w:hAnsi="Wingdings" w:hint="default"/>
      </w:rPr>
    </w:lvl>
    <w:lvl w:ilvl="3" w:tplc="040C0001" w:tentative="1">
      <w:start w:val="1"/>
      <w:numFmt w:val="bullet"/>
      <w:lvlText w:val=""/>
      <w:lvlJc w:val="left"/>
      <w:pPr>
        <w:ind w:left="3130" w:hanging="360"/>
      </w:pPr>
      <w:rPr>
        <w:rFonts w:ascii="Symbol" w:hAnsi="Symbol" w:hint="default"/>
      </w:rPr>
    </w:lvl>
    <w:lvl w:ilvl="4" w:tplc="040C0003" w:tentative="1">
      <w:start w:val="1"/>
      <w:numFmt w:val="bullet"/>
      <w:lvlText w:val="o"/>
      <w:lvlJc w:val="left"/>
      <w:pPr>
        <w:ind w:left="3850" w:hanging="360"/>
      </w:pPr>
      <w:rPr>
        <w:rFonts w:ascii="Courier New" w:hAnsi="Courier New" w:cs="Courier New" w:hint="default"/>
      </w:rPr>
    </w:lvl>
    <w:lvl w:ilvl="5" w:tplc="040C0005" w:tentative="1">
      <w:start w:val="1"/>
      <w:numFmt w:val="bullet"/>
      <w:lvlText w:val=""/>
      <w:lvlJc w:val="left"/>
      <w:pPr>
        <w:ind w:left="4570" w:hanging="360"/>
      </w:pPr>
      <w:rPr>
        <w:rFonts w:ascii="Wingdings" w:hAnsi="Wingdings" w:hint="default"/>
      </w:rPr>
    </w:lvl>
    <w:lvl w:ilvl="6" w:tplc="040C0001" w:tentative="1">
      <w:start w:val="1"/>
      <w:numFmt w:val="bullet"/>
      <w:lvlText w:val=""/>
      <w:lvlJc w:val="left"/>
      <w:pPr>
        <w:ind w:left="5290" w:hanging="360"/>
      </w:pPr>
      <w:rPr>
        <w:rFonts w:ascii="Symbol" w:hAnsi="Symbol" w:hint="default"/>
      </w:rPr>
    </w:lvl>
    <w:lvl w:ilvl="7" w:tplc="040C0003" w:tentative="1">
      <w:start w:val="1"/>
      <w:numFmt w:val="bullet"/>
      <w:lvlText w:val="o"/>
      <w:lvlJc w:val="left"/>
      <w:pPr>
        <w:ind w:left="6010" w:hanging="360"/>
      </w:pPr>
      <w:rPr>
        <w:rFonts w:ascii="Courier New" w:hAnsi="Courier New" w:cs="Courier New" w:hint="default"/>
      </w:rPr>
    </w:lvl>
    <w:lvl w:ilvl="8" w:tplc="040C0005" w:tentative="1">
      <w:start w:val="1"/>
      <w:numFmt w:val="bullet"/>
      <w:lvlText w:val=""/>
      <w:lvlJc w:val="left"/>
      <w:pPr>
        <w:ind w:left="6730" w:hanging="360"/>
      </w:pPr>
      <w:rPr>
        <w:rFonts w:ascii="Wingdings" w:hAnsi="Wingdings" w:hint="default"/>
      </w:rPr>
    </w:lvl>
  </w:abstractNum>
  <w:abstractNum w:abstractNumId="20" w15:restartNumberingAfterBreak="0">
    <w:nsid w:val="78B20CCF"/>
    <w:multiLevelType w:val="hybridMultilevel"/>
    <w:tmpl w:val="F74CCF56"/>
    <w:lvl w:ilvl="0" w:tplc="9ED00D7C">
      <w:start w:val="1"/>
      <w:numFmt w:val="decimal"/>
      <w:lvlText w:val="%1."/>
      <w:lvlJc w:val="left"/>
      <w:pPr>
        <w:ind w:left="792" w:hanging="360"/>
      </w:pPr>
      <w:rPr>
        <w:rFonts w:hint="default"/>
        <w:b/>
        <w:bCs/>
        <w:color w:val="000000" w:themeColor="text1"/>
      </w:rPr>
    </w:lvl>
    <w:lvl w:ilvl="1" w:tplc="040C0019" w:tentative="1">
      <w:start w:val="1"/>
      <w:numFmt w:val="lowerLetter"/>
      <w:lvlText w:val="%2."/>
      <w:lvlJc w:val="left"/>
      <w:pPr>
        <w:ind w:left="1512" w:hanging="360"/>
      </w:pPr>
    </w:lvl>
    <w:lvl w:ilvl="2" w:tplc="040C001B" w:tentative="1">
      <w:start w:val="1"/>
      <w:numFmt w:val="lowerRoman"/>
      <w:lvlText w:val="%3."/>
      <w:lvlJc w:val="right"/>
      <w:pPr>
        <w:ind w:left="2232" w:hanging="180"/>
      </w:pPr>
    </w:lvl>
    <w:lvl w:ilvl="3" w:tplc="040C000F" w:tentative="1">
      <w:start w:val="1"/>
      <w:numFmt w:val="decimal"/>
      <w:lvlText w:val="%4."/>
      <w:lvlJc w:val="left"/>
      <w:pPr>
        <w:ind w:left="2952" w:hanging="360"/>
      </w:pPr>
    </w:lvl>
    <w:lvl w:ilvl="4" w:tplc="040C0019" w:tentative="1">
      <w:start w:val="1"/>
      <w:numFmt w:val="lowerLetter"/>
      <w:lvlText w:val="%5."/>
      <w:lvlJc w:val="left"/>
      <w:pPr>
        <w:ind w:left="3672" w:hanging="360"/>
      </w:pPr>
    </w:lvl>
    <w:lvl w:ilvl="5" w:tplc="040C001B" w:tentative="1">
      <w:start w:val="1"/>
      <w:numFmt w:val="lowerRoman"/>
      <w:lvlText w:val="%6."/>
      <w:lvlJc w:val="right"/>
      <w:pPr>
        <w:ind w:left="4392" w:hanging="180"/>
      </w:pPr>
    </w:lvl>
    <w:lvl w:ilvl="6" w:tplc="040C000F" w:tentative="1">
      <w:start w:val="1"/>
      <w:numFmt w:val="decimal"/>
      <w:lvlText w:val="%7."/>
      <w:lvlJc w:val="left"/>
      <w:pPr>
        <w:ind w:left="5112" w:hanging="360"/>
      </w:pPr>
    </w:lvl>
    <w:lvl w:ilvl="7" w:tplc="040C0019" w:tentative="1">
      <w:start w:val="1"/>
      <w:numFmt w:val="lowerLetter"/>
      <w:lvlText w:val="%8."/>
      <w:lvlJc w:val="left"/>
      <w:pPr>
        <w:ind w:left="5832" w:hanging="360"/>
      </w:pPr>
    </w:lvl>
    <w:lvl w:ilvl="8" w:tplc="040C001B" w:tentative="1">
      <w:start w:val="1"/>
      <w:numFmt w:val="lowerRoman"/>
      <w:lvlText w:val="%9."/>
      <w:lvlJc w:val="right"/>
      <w:pPr>
        <w:ind w:left="6552" w:hanging="180"/>
      </w:pPr>
    </w:lvl>
  </w:abstractNum>
  <w:abstractNum w:abstractNumId="21" w15:restartNumberingAfterBreak="0">
    <w:nsid w:val="79EC2B3B"/>
    <w:multiLevelType w:val="hybridMultilevel"/>
    <w:tmpl w:val="18A250CA"/>
    <w:lvl w:ilvl="0" w:tplc="06B6B5BA">
      <w:numFmt w:val="bullet"/>
      <w:lvlText w:val="-"/>
      <w:lvlJc w:val="left"/>
      <w:pPr>
        <w:ind w:left="900" w:hanging="360"/>
      </w:pPr>
      <w:rPr>
        <w:rFonts w:ascii="Arial" w:eastAsia="Times New Roman" w:hAnsi="Arial" w:cs="Arial" w:hint="default"/>
        <w:sz w:val="24"/>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22" w15:restartNumberingAfterBreak="0">
    <w:nsid w:val="7CAC1E99"/>
    <w:multiLevelType w:val="hybridMultilevel"/>
    <w:tmpl w:val="497C9BEC"/>
    <w:lvl w:ilvl="0" w:tplc="FFFFFFFF">
      <w:start w:val="1"/>
      <w:numFmt w:val="lowerLetter"/>
      <w:lvlText w:val="%1)"/>
      <w:lvlJc w:val="left"/>
      <w:pPr>
        <w:ind w:left="720" w:hanging="360"/>
      </w:pPr>
      <w:rPr>
        <w:rFonts w:hint="default"/>
        <w:b w:val="0"/>
        <w:i w:val="0"/>
      </w:rPr>
    </w:lvl>
    <w:lvl w:ilvl="1" w:tplc="FFFFFFFF">
      <w:start w:val="1"/>
      <w:numFmt w:val="lowerLetter"/>
      <w:lvlText w:val="(%2)"/>
      <w:lvlJc w:val="left"/>
      <w:pPr>
        <w:ind w:left="1440" w:hanging="360"/>
      </w:pPr>
      <w:rPr>
        <w:rFonts w:hint="default"/>
        <w:b/>
      </w:rPr>
    </w:lvl>
    <w:lvl w:ilvl="2" w:tplc="FFFFFFFF">
      <w:start w:val="1"/>
      <w:numFmt w:val="lowerRoman"/>
      <w:lvlText w:val="%3."/>
      <w:lvlJc w:val="right"/>
      <w:pPr>
        <w:ind w:left="2160" w:hanging="180"/>
      </w:pPr>
    </w:lvl>
    <w:lvl w:ilvl="3" w:tplc="FFFFFFFF">
      <w:start w:val="1"/>
      <w:numFmt w:val="lowerRoman"/>
      <w:lvlText w:val="(%4)"/>
      <w:lvlJc w:val="left"/>
      <w:pPr>
        <w:ind w:left="2880" w:hanging="360"/>
      </w:pPr>
      <w:rPr>
        <w:rFonts w:hint="default"/>
        <w:b w:val="0"/>
        <w:i w:val="0"/>
      </w:rPr>
    </w:lvl>
    <w:lvl w:ilvl="4" w:tplc="FFFFFFFF">
      <w:start w:val="10"/>
      <w:numFmt w:val="upperLetter"/>
      <w:lvlText w:val="%5."/>
      <w:lvlJc w:val="left"/>
      <w:pPr>
        <w:ind w:left="3600" w:hanging="360"/>
      </w:pPr>
      <w:rPr>
        <w:rFonts w:hint="default"/>
      </w:rPr>
    </w:lvl>
    <w:lvl w:ilvl="5" w:tplc="FFFFFFFF">
      <w:start w:val="1"/>
      <w:numFmt w:val="decimal"/>
      <w:lvlText w:val="%6."/>
      <w:lvlJc w:val="left"/>
      <w:pPr>
        <w:ind w:left="644" w:hanging="360"/>
      </w:pPr>
      <w:rPr>
        <w:rFonts w:hint="default"/>
        <w:b w:val="0"/>
        <w:bCs/>
      </w:rPr>
    </w:lvl>
    <w:lvl w:ilvl="6" w:tplc="040C000B">
      <w:start w:val="1"/>
      <w:numFmt w:val="bullet"/>
      <w:lvlText w:val=""/>
      <w:lvlJc w:val="left"/>
      <w:pPr>
        <w:ind w:left="5040" w:hanging="360"/>
      </w:pPr>
      <w:rPr>
        <w:rFonts w:ascii="Wingdings" w:hAnsi="Wingding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30778976">
    <w:abstractNumId w:val="5"/>
  </w:num>
  <w:num w:numId="2" w16cid:durableId="425001766">
    <w:abstractNumId w:val="15"/>
  </w:num>
  <w:num w:numId="3" w16cid:durableId="1270625600">
    <w:abstractNumId w:val="9"/>
  </w:num>
  <w:num w:numId="4" w16cid:durableId="1413354563">
    <w:abstractNumId w:val="8"/>
  </w:num>
  <w:num w:numId="5" w16cid:durableId="1617910699">
    <w:abstractNumId w:val="19"/>
  </w:num>
  <w:num w:numId="6" w16cid:durableId="727149672">
    <w:abstractNumId w:val="10"/>
  </w:num>
  <w:num w:numId="7" w16cid:durableId="750204374">
    <w:abstractNumId w:val="21"/>
  </w:num>
  <w:num w:numId="8" w16cid:durableId="341589063">
    <w:abstractNumId w:val="18"/>
  </w:num>
  <w:num w:numId="9" w16cid:durableId="1772116596">
    <w:abstractNumId w:val="4"/>
  </w:num>
  <w:num w:numId="10" w16cid:durableId="1000698726">
    <w:abstractNumId w:val="7"/>
  </w:num>
  <w:num w:numId="11" w16cid:durableId="1958175045">
    <w:abstractNumId w:val="17"/>
  </w:num>
  <w:num w:numId="12" w16cid:durableId="1150899899">
    <w:abstractNumId w:val="1"/>
  </w:num>
  <w:num w:numId="13" w16cid:durableId="288974459">
    <w:abstractNumId w:val="13"/>
  </w:num>
  <w:num w:numId="14" w16cid:durableId="1902910682">
    <w:abstractNumId w:val="3"/>
  </w:num>
  <w:num w:numId="15" w16cid:durableId="139805941">
    <w:abstractNumId w:val="6"/>
  </w:num>
  <w:num w:numId="16" w16cid:durableId="36047513">
    <w:abstractNumId w:val="2"/>
  </w:num>
  <w:num w:numId="17" w16cid:durableId="328944185">
    <w:abstractNumId w:val="12"/>
  </w:num>
  <w:num w:numId="18" w16cid:durableId="1895387953">
    <w:abstractNumId w:val="16"/>
  </w:num>
  <w:num w:numId="19" w16cid:durableId="1707876531">
    <w:abstractNumId w:val="14"/>
  </w:num>
  <w:num w:numId="20" w16cid:durableId="1784763140">
    <w:abstractNumId w:val="20"/>
  </w:num>
  <w:num w:numId="21" w16cid:durableId="445202540">
    <w:abstractNumId w:val="22"/>
  </w:num>
  <w:num w:numId="22" w16cid:durableId="468521800">
    <w:abstractNumId w:val="0"/>
    <w:lvlOverride w:ilvl="0">
      <w:lvl w:ilvl="0">
        <w:numFmt w:val="bullet"/>
        <w:lvlText w:val=""/>
        <w:legacy w:legacy="1" w:legacySpace="0" w:legacyIndent="360"/>
        <w:lvlJc w:val="left"/>
        <w:pPr>
          <w:ind w:left="720" w:hanging="360"/>
        </w:pPr>
        <w:rPr>
          <w:rFonts w:ascii="Symbol" w:hAnsi="Symbol" w:hint="default"/>
        </w:rPr>
      </w:lvl>
    </w:lvlOverride>
  </w:num>
  <w:num w:numId="23" w16cid:durableId="15635626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D43"/>
    <w:rsid w:val="00002195"/>
    <w:rsid w:val="000028DC"/>
    <w:rsid w:val="00005E22"/>
    <w:rsid w:val="00006F67"/>
    <w:rsid w:val="0001381B"/>
    <w:rsid w:val="00014880"/>
    <w:rsid w:val="0001724B"/>
    <w:rsid w:val="00021DAB"/>
    <w:rsid w:val="0002524A"/>
    <w:rsid w:val="00031312"/>
    <w:rsid w:val="000448EB"/>
    <w:rsid w:val="00046734"/>
    <w:rsid w:val="000878E6"/>
    <w:rsid w:val="000908F9"/>
    <w:rsid w:val="000A02F6"/>
    <w:rsid w:val="000C643C"/>
    <w:rsid w:val="000D1CF5"/>
    <w:rsid w:val="000E1AF1"/>
    <w:rsid w:val="000E5B5D"/>
    <w:rsid w:val="000F0FB0"/>
    <w:rsid w:val="00101068"/>
    <w:rsid w:val="001320EC"/>
    <w:rsid w:val="0013324A"/>
    <w:rsid w:val="00140B8F"/>
    <w:rsid w:val="00155DD9"/>
    <w:rsid w:val="00157311"/>
    <w:rsid w:val="001723F4"/>
    <w:rsid w:val="001762E0"/>
    <w:rsid w:val="00182784"/>
    <w:rsid w:val="00185DFA"/>
    <w:rsid w:val="00187995"/>
    <w:rsid w:val="001A42A0"/>
    <w:rsid w:val="001B3AC5"/>
    <w:rsid w:val="001B60F0"/>
    <w:rsid w:val="001C3879"/>
    <w:rsid w:val="001D2801"/>
    <w:rsid w:val="00203CC5"/>
    <w:rsid w:val="00203E5C"/>
    <w:rsid w:val="00215C2E"/>
    <w:rsid w:val="00236F39"/>
    <w:rsid w:val="00237319"/>
    <w:rsid w:val="0024283F"/>
    <w:rsid w:val="00243B31"/>
    <w:rsid w:val="0025451F"/>
    <w:rsid w:val="00255998"/>
    <w:rsid w:val="00263A0C"/>
    <w:rsid w:val="002721B7"/>
    <w:rsid w:val="00273BB9"/>
    <w:rsid w:val="00284CD3"/>
    <w:rsid w:val="0029402A"/>
    <w:rsid w:val="002D0DB5"/>
    <w:rsid w:val="002E2A9A"/>
    <w:rsid w:val="002F2E5C"/>
    <w:rsid w:val="00302AE0"/>
    <w:rsid w:val="00306E29"/>
    <w:rsid w:val="00307194"/>
    <w:rsid w:val="00320FBE"/>
    <w:rsid w:val="00333BD0"/>
    <w:rsid w:val="00351C8D"/>
    <w:rsid w:val="00357353"/>
    <w:rsid w:val="00357A0E"/>
    <w:rsid w:val="00357C0C"/>
    <w:rsid w:val="00361AB3"/>
    <w:rsid w:val="00376407"/>
    <w:rsid w:val="0039640A"/>
    <w:rsid w:val="003A33FF"/>
    <w:rsid w:val="003A5BE1"/>
    <w:rsid w:val="003B14D3"/>
    <w:rsid w:val="003B1648"/>
    <w:rsid w:val="003B6ED4"/>
    <w:rsid w:val="003C0413"/>
    <w:rsid w:val="003C1C7E"/>
    <w:rsid w:val="003C6119"/>
    <w:rsid w:val="003C69DE"/>
    <w:rsid w:val="003D2CED"/>
    <w:rsid w:val="003D52C0"/>
    <w:rsid w:val="003D7FB3"/>
    <w:rsid w:val="003E3727"/>
    <w:rsid w:val="003E5A77"/>
    <w:rsid w:val="003F4461"/>
    <w:rsid w:val="003F63E0"/>
    <w:rsid w:val="003F67CF"/>
    <w:rsid w:val="00403584"/>
    <w:rsid w:val="00403D34"/>
    <w:rsid w:val="0041004F"/>
    <w:rsid w:val="00420D05"/>
    <w:rsid w:val="0043315A"/>
    <w:rsid w:val="004670F8"/>
    <w:rsid w:val="0047033B"/>
    <w:rsid w:val="004743B9"/>
    <w:rsid w:val="004745F8"/>
    <w:rsid w:val="0048181C"/>
    <w:rsid w:val="00496889"/>
    <w:rsid w:val="004A6A4B"/>
    <w:rsid w:val="004B00D2"/>
    <w:rsid w:val="004B1A2C"/>
    <w:rsid w:val="004B7A21"/>
    <w:rsid w:val="004C0362"/>
    <w:rsid w:val="004E18F1"/>
    <w:rsid w:val="004E60A0"/>
    <w:rsid w:val="00502999"/>
    <w:rsid w:val="0053283F"/>
    <w:rsid w:val="00543D53"/>
    <w:rsid w:val="00545D52"/>
    <w:rsid w:val="00566216"/>
    <w:rsid w:val="005722D9"/>
    <w:rsid w:val="005744B1"/>
    <w:rsid w:val="00590EF5"/>
    <w:rsid w:val="005C29C4"/>
    <w:rsid w:val="005C6BD0"/>
    <w:rsid w:val="005D3EFD"/>
    <w:rsid w:val="005D5D45"/>
    <w:rsid w:val="005D7C81"/>
    <w:rsid w:val="005F25F1"/>
    <w:rsid w:val="00606C0F"/>
    <w:rsid w:val="00621550"/>
    <w:rsid w:val="00622852"/>
    <w:rsid w:val="006312B1"/>
    <w:rsid w:val="006313B3"/>
    <w:rsid w:val="0063435C"/>
    <w:rsid w:val="006351AB"/>
    <w:rsid w:val="006450E5"/>
    <w:rsid w:val="006462D5"/>
    <w:rsid w:val="00646F3B"/>
    <w:rsid w:val="0065618B"/>
    <w:rsid w:val="00661816"/>
    <w:rsid w:val="00664288"/>
    <w:rsid w:val="0066476B"/>
    <w:rsid w:val="006720D6"/>
    <w:rsid w:val="006757CF"/>
    <w:rsid w:val="0069008C"/>
    <w:rsid w:val="00693BA7"/>
    <w:rsid w:val="00696470"/>
    <w:rsid w:val="006A5566"/>
    <w:rsid w:val="006B4E28"/>
    <w:rsid w:val="006B5C77"/>
    <w:rsid w:val="006C39CD"/>
    <w:rsid w:val="006C419C"/>
    <w:rsid w:val="006C705B"/>
    <w:rsid w:val="006E0EAA"/>
    <w:rsid w:val="006E4F8F"/>
    <w:rsid w:val="006E50EB"/>
    <w:rsid w:val="006F326B"/>
    <w:rsid w:val="006F6F51"/>
    <w:rsid w:val="00701857"/>
    <w:rsid w:val="00702A25"/>
    <w:rsid w:val="00705647"/>
    <w:rsid w:val="00712B1A"/>
    <w:rsid w:val="00721D5F"/>
    <w:rsid w:val="00725927"/>
    <w:rsid w:val="00734B13"/>
    <w:rsid w:val="00757EB6"/>
    <w:rsid w:val="00760A6F"/>
    <w:rsid w:val="0079087B"/>
    <w:rsid w:val="007A41FE"/>
    <w:rsid w:val="007B2D18"/>
    <w:rsid w:val="007E17A1"/>
    <w:rsid w:val="007E3783"/>
    <w:rsid w:val="007F00D8"/>
    <w:rsid w:val="007F15FE"/>
    <w:rsid w:val="007F7985"/>
    <w:rsid w:val="00801172"/>
    <w:rsid w:val="00810A14"/>
    <w:rsid w:val="00821755"/>
    <w:rsid w:val="008271F2"/>
    <w:rsid w:val="00844259"/>
    <w:rsid w:val="008449A5"/>
    <w:rsid w:val="008528FA"/>
    <w:rsid w:val="00855B83"/>
    <w:rsid w:val="008573B3"/>
    <w:rsid w:val="00862A1F"/>
    <w:rsid w:val="008635D7"/>
    <w:rsid w:val="008656F0"/>
    <w:rsid w:val="00874CC6"/>
    <w:rsid w:val="008766DA"/>
    <w:rsid w:val="008929E5"/>
    <w:rsid w:val="008968C0"/>
    <w:rsid w:val="008A6F94"/>
    <w:rsid w:val="008B23A6"/>
    <w:rsid w:val="008C33E6"/>
    <w:rsid w:val="008D224A"/>
    <w:rsid w:val="008F1812"/>
    <w:rsid w:val="008F2612"/>
    <w:rsid w:val="008F3B4F"/>
    <w:rsid w:val="009039E9"/>
    <w:rsid w:val="00907731"/>
    <w:rsid w:val="00911734"/>
    <w:rsid w:val="00912C4F"/>
    <w:rsid w:val="0091704D"/>
    <w:rsid w:val="009240C4"/>
    <w:rsid w:val="009244D9"/>
    <w:rsid w:val="00927093"/>
    <w:rsid w:val="009402BD"/>
    <w:rsid w:val="009507AF"/>
    <w:rsid w:val="00960708"/>
    <w:rsid w:val="009612AE"/>
    <w:rsid w:val="00961311"/>
    <w:rsid w:val="00962A03"/>
    <w:rsid w:val="00966E88"/>
    <w:rsid w:val="00977834"/>
    <w:rsid w:val="0097796F"/>
    <w:rsid w:val="00995823"/>
    <w:rsid w:val="009A014D"/>
    <w:rsid w:val="009A2CC1"/>
    <w:rsid w:val="009B248E"/>
    <w:rsid w:val="009B457C"/>
    <w:rsid w:val="009B51C5"/>
    <w:rsid w:val="009E12AF"/>
    <w:rsid w:val="009E2029"/>
    <w:rsid w:val="009E25ED"/>
    <w:rsid w:val="009E6549"/>
    <w:rsid w:val="009E6A48"/>
    <w:rsid w:val="009F06B5"/>
    <w:rsid w:val="00A03058"/>
    <w:rsid w:val="00A12FE4"/>
    <w:rsid w:val="00A1560B"/>
    <w:rsid w:val="00A21080"/>
    <w:rsid w:val="00A42C07"/>
    <w:rsid w:val="00A521FA"/>
    <w:rsid w:val="00A642CD"/>
    <w:rsid w:val="00A64FBA"/>
    <w:rsid w:val="00A87C72"/>
    <w:rsid w:val="00A90FA8"/>
    <w:rsid w:val="00A965BF"/>
    <w:rsid w:val="00AA1609"/>
    <w:rsid w:val="00AA7833"/>
    <w:rsid w:val="00AB3E05"/>
    <w:rsid w:val="00AB53A9"/>
    <w:rsid w:val="00AB72F9"/>
    <w:rsid w:val="00AD17B4"/>
    <w:rsid w:val="00AD201B"/>
    <w:rsid w:val="00AF3039"/>
    <w:rsid w:val="00AF672F"/>
    <w:rsid w:val="00AF6A8F"/>
    <w:rsid w:val="00B002AC"/>
    <w:rsid w:val="00B05DF0"/>
    <w:rsid w:val="00B10183"/>
    <w:rsid w:val="00B12B2D"/>
    <w:rsid w:val="00B1392E"/>
    <w:rsid w:val="00B2034B"/>
    <w:rsid w:val="00B24D9C"/>
    <w:rsid w:val="00B316AD"/>
    <w:rsid w:val="00B33385"/>
    <w:rsid w:val="00B457FA"/>
    <w:rsid w:val="00B4619C"/>
    <w:rsid w:val="00B52569"/>
    <w:rsid w:val="00B5799E"/>
    <w:rsid w:val="00B80C39"/>
    <w:rsid w:val="00B82EC9"/>
    <w:rsid w:val="00B970B9"/>
    <w:rsid w:val="00B97502"/>
    <w:rsid w:val="00BB3793"/>
    <w:rsid w:val="00BC3CFA"/>
    <w:rsid w:val="00BC5B2A"/>
    <w:rsid w:val="00BD3975"/>
    <w:rsid w:val="00BD5AA3"/>
    <w:rsid w:val="00BD725A"/>
    <w:rsid w:val="00BF7021"/>
    <w:rsid w:val="00BF7C9C"/>
    <w:rsid w:val="00C04592"/>
    <w:rsid w:val="00C0589E"/>
    <w:rsid w:val="00C14530"/>
    <w:rsid w:val="00C300E4"/>
    <w:rsid w:val="00C410A7"/>
    <w:rsid w:val="00C426B8"/>
    <w:rsid w:val="00C55114"/>
    <w:rsid w:val="00C55371"/>
    <w:rsid w:val="00C8262A"/>
    <w:rsid w:val="00C83006"/>
    <w:rsid w:val="00C92394"/>
    <w:rsid w:val="00C954AE"/>
    <w:rsid w:val="00CA140F"/>
    <w:rsid w:val="00CA1C7D"/>
    <w:rsid w:val="00CA253B"/>
    <w:rsid w:val="00CA3B23"/>
    <w:rsid w:val="00CB2CDC"/>
    <w:rsid w:val="00CB4CB7"/>
    <w:rsid w:val="00CB6C2C"/>
    <w:rsid w:val="00CF194D"/>
    <w:rsid w:val="00CF42A8"/>
    <w:rsid w:val="00D2023E"/>
    <w:rsid w:val="00D2047D"/>
    <w:rsid w:val="00D32852"/>
    <w:rsid w:val="00D509A5"/>
    <w:rsid w:val="00D5425F"/>
    <w:rsid w:val="00D66899"/>
    <w:rsid w:val="00D71C7F"/>
    <w:rsid w:val="00D72F77"/>
    <w:rsid w:val="00D76CFE"/>
    <w:rsid w:val="00D76D9A"/>
    <w:rsid w:val="00D80B89"/>
    <w:rsid w:val="00D85375"/>
    <w:rsid w:val="00D858E4"/>
    <w:rsid w:val="00D86E1C"/>
    <w:rsid w:val="00D95ED1"/>
    <w:rsid w:val="00DA00EA"/>
    <w:rsid w:val="00DB1D91"/>
    <w:rsid w:val="00DB5843"/>
    <w:rsid w:val="00DC0D99"/>
    <w:rsid w:val="00DC25AF"/>
    <w:rsid w:val="00DC387D"/>
    <w:rsid w:val="00DD331A"/>
    <w:rsid w:val="00DD7DAA"/>
    <w:rsid w:val="00DD7F7B"/>
    <w:rsid w:val="00DE0B30"/>
    <w:rsid w:val="00DE4B65"/>
    <w:rsid w:val="00DE717F"/>
    <w:rsid w:val="00E03B61"/>
    <w:rsid w:val="00E1618E"/>
    <w:rsid w:val="00E20BE8"/>
    <w:rsid w:val="00E21D11"/>
    <w:rsid w:val="00E262F7"/>
    <w:rsid w:val="00E62CB8"/>
    <w:rsid w:val="00E63368"/>
    <w:rsid w:val="00E67549"/>
    <w:rsid w:val="00E71BE9"/>
    <w:rsid w:val="00E73DBB"/>
    <w:rsid w:val="00E8345D"/>
    <w:rsid w:val="00E8758F"/>
    <w:rsid w:val="00E925D0"/>
    <w:rsid w:val="00E95044"/>
    <w:rsid w:val="00EA4F7C"/>
    <w:rsid w:val="00EA7158"/>
    <w:rsid w:val="00EB697C"/>
    <w:rsid w:val="00EB723E"/>
    <w:rsid w:val="00EC176C"/>
    <w:rsid w:val="00EC6E72"/>
    <w:rsid w:val="00ED7C97"/>
    <w:rsid w:val="00EE0AD8"/>
    <w:rsid w:val="00EE159D"/>
    <w:rsid w:val="00EE1724"/>
    <w:rsid w:val="00EF1065"/>
    <w:rsid w:val="00EF4026"/>
    <w:rsid w:val="00F06D43"/>
    <w:rsid w:val="00F224D3"/>
    <w:rsid w:val="00F31DD4"/>
    <w:rsid w:val="00F3252A"/>
    <w:rsid w:val="00F32563"/>
    <w:rsid w:val="00F378F6"/>
    <w:rsid w:val="00F43F55"/>
    <w:rsid w:val="00F4729B"/>
    <w:rsid w:val="00F473BC"/>
    <w:rsid w:val="00F60889"/>
    <w:rsid w:val="00F916C2"/>
    <w:rsid w:val="00F95295"/>
    <w:rsid w:val="00FC5B2F"/>
    <w:rsid w:val="00FC66F3"/>
    <w:rsid w:val="00FD2F62"/>
    <w:rsid w:val="00FD3006"/>
    <w:rsid w:val="00FE04F9"/>
    <w:rsid w:val="00FF210A"/>
    <w:rsid w:val="00FF3C6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A3E9B"/>
  <w15:chartTrackingRefBased/>
  <w15:docId w15:val="{6BAF5A4D-9F83-4A55-B85A-E0D22795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D43"/>
    <w:pPr>
      <w:spacing w:after="0" w:line="240" w:lineRule="auto"/>
    </w:pPr>
    <w:rPr>
      <w:rFonts w:ascii="Times New Roman" w:eastAsia="Times New Roman" w:hAnsi="Times New Roman" w:cs="Times New Roman"/>
      <w:sz w:val="24"/>
      <w:szCs w:val="24"/>
      <w:lang w:eastAsia="fr-FR"/>
    </w:rPr>
  </w:style>
  <w:style w:type="paragraph" w:styleId="Titre1">
    <w:name w:val="heading 1"/>
    <w:aliases w:val="Document Header1,ClauseGroup_Title"/>
    <w:basedOn w:val="Normal"/>
    <w:next w:val="Normal"/>
    <w:link w:val="Titre1Car"/>
    <w:uiPriority w:val="99"/>
    <w:qFormat/>
    <w:rsid w:val="00C300E4"/>
    <w:pPr>
      <w:keepNext/>
      <w:keepLines/>
      <w:spacing w:before="240" w:line="276"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06D43"/>
    <w:pPr>
      <w:tabs>
        <w:tab w:val="center" w:pos="4536"/>
        <w:tab w:val="right" w:pos="9072"/>
      </w:tabs>
    </w:pPr>
  </w:style>
  <w:style w:type="character" w:customStyle="1" w:styleId="En-tteCar">
    <w:name w:val="En-tête Car"/>
    <w:basedOn w:val="Policepardfaut"/>
    <w:link w:val="En-tte"/>
    <w:uiPriority w:val="99"/>
    <w:rsid w:val="00F06D43"/>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06D43"/>
    <w:rPr>
      <w:color w:val="0563C1" w:themeColor="hyperlink"/>
      <w:u w:val="single"/>
    </w:rPr>
  </w:style>
  <w:style w:type="paragraph" w:styleId="Sansinterligne">
    <w:name w:val="No Spacing"/>
    <w:uiPriority w:val="1"/>
    <w:qFormat/>
    <w:rsid w:val="00A642CD"/>
    <w:pPr>
      <w:spacing w:after="0" w:line="240" w:lineRule="auto"/>
    </w:pPr>
    <w:rPr>
      <w:rFonts w:ascii="Calibri" w:eastAsia="Calibri" w:hAnsi="Calibri" w:cs="Times New Roman"/>
    </w:rPr>
  </w:style>
  <w:style w:type="paragraph" w:styleId="Pieddepage">
    <w:name w:val="footer"/>
    <w:basedOn w:val="Normal"/>
    <w:link w:val="PieddepageCar"/>
    <w:uiPriority w:val="99"/>
    <w:unhideWhenUsed/>
    <w:rsid w:val="006B5C77"/>
    <w:pPr>
      <w:tabs>
        <w:tab w:val="center" w:pos="4536"/>
        <w:tab w:val="right" w:pos="9072"/>
      </w:tabs>
    </w:pPr>
  </w:style>
  <w:style w:type="character" w:customStyle="1" w:styleId="PieddepageCar">
    <w:name w:val="Pied de page Car"/>
    <w:basedOn w:val="Policepardfaut"/>
    <w:link w:val="Pieddepage"/>
    <w:uiPriority w:val="99"/>
    <w:rsid w:val="006B5C77"/>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5D7C81"/>
    <w:pPr>
      <w:ind w:left="720"/>
      <w:contextualSpacing/>
    </w:pPr>
  </w:style>
  <w:style w:type="paragraph" w:styleId="Rvision">
    <w:name w:val="Revision"/>
    <w:hidden/>
    <w:uiPriority w:val="99"/>
    <w:semiHidden/>
    <w:rsid w:val="00B10183"/>
    <w:pPr>
      <w:spacing w:after="0" w:line="240" w:lineRule="auto"/>
    </w:pPr>
    <w:rPr>
      <w:rFonts w:ascii="Times New Roman" w:eastAsia="Times New Roman" w:hAnsi="Times New Roman" w:cs="Times New Roman"/>
      <w:sz w:val="24"/>
      <w:szCs w:val="24"/>
      <w:lang w:eastAsia="fr-FR"/>
    </w:rPr>
  </w:style>
  <w:style w:type="paragraph" w:customStyle="1" w:styleId="yiv9018570437gmail-yiv6275572559msonormal">
    <w:name w:val="yiv9018570437gmail-yiv6275572559msonormal"/>
    <w:basedOn w:val="Normal"/>
    <w:rsid w:val="00F916C2"/>
    <w:pPr>
      <w:spacing w:before="100" w:beforeAutospacing="1" w:after="100" w:afterAutospacing="1"/>
    </w:pPr>
  </w:style>
  <w:style w:type="character" w:styleId="Marquedecommentaire">
    <w:name w:val="annotation reference"/>
    <w:basedOn w:val="Policepardfaut"/>
    <w:uiPriority w:val="99"/>
    <w:semiHidden/>
    <w:unhideWhenUsed/>
    <w:rsid w:val="00725927"/>
    <w:rPr>
      <w:sz w:val="16"/>
      <w:szCs w:val="16"/>
    </w:rPr>
  </w:style>
  <w:style w:type="paragraph" w:styleId="Commentaire">
    <w:name w:val="annotation text"/>
    <w:basedOn w:val="Normal"/>
    <w:link w:val="CommentaireCar"/>
    <w:uiPriority w:val="99"/>
    <w:semiHidden/>
    <w:unhideWhenUsed/>
    <w:rsid w:val="00725927"/>
    <w:rPr>
      <w:sz w:val="20"/>
      <w:szCs w:val="20"/>
    </w:rPr>
  </w:style>
  <w:style w:type="character" w:customStyle="1" w:styleId="CommentaireCar">
    <w:name w:val="Commentaire Car"/>
    <w:basedOn w:val="Policepardfaut"/>
    <w:link w:val="Commentaire"/>
    <w:uiPriority w:val="99"/>
    <w:semiHidden/>
    <w:rsid w:val="00725927"/>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725927"/>
    <w:rPr>
      <w:b/>
      <w:bCs/>
    </w:rPr>
  </w:style>
  <w:style w:type="character" w:customStyle="1" w:styleId="ObjetducommentaireCar">
    <w:name w:val="Objet du commentaire Car"/>
    <w:basedOn w:val="CommentaireCar"/>
    <w:link w:val="Objetducommentaire"/>
    <w:uiPriority w:val="99"/>
    <w:semiHidden/>
    <w:rsid w:val="00725927"/>
    <w:rPr>
      <w:rFonts w:ascii="Times New Roman" w:eastAsia="Times New Roman" w:hAnsi="Times New Roman" w:cs="Times New Roman"/>
      <w:b/>
      <w:bCs/>
      <w:sz w:val="20"/>
      <w:szCs w:val="20"/>
      <w:lang w:eastAsia="fr-FR"/>
    </w:rPr>
  </w:style>
  <w:style w:type="character" w:styleId="Mentionnonrsolue">
    <w:name w:val="Unresolved Mention"/>
    <w:basedOn w:val="Policepardfaut"/>
    <w:uiPriority w:val="99"/>
    <w:semiHidden/>
    <w:unhideWhenUsed/>
    <w:rsid w:val="00701857"/>
    <w:rPr>
      <w:color w:val="605E5C"/>
      <w:shd w:val="clear" w:color="auto" w:fill="E1DFDD"/>
    </w:rPr>
  </w:style>
  <w:style w:type="table" w:styleId="Grilledutableau">
    <w:name w:val="Table Grid"/>
    <w:basedOn w:val="TableauNormal"/>
    <w:uiPriority w:val="39"/>
    <w:qFormat/>
    <w:rsid w:val="001C3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F224D3"/>
    <w:rPr>
      <w:b/>
    </w:rPr>
  </w:style>
  <w:style w:type="paragraph" w:customStyle="1" w:styleId="AnnIIsousretrait1">
    <w:name w:val="Ann II sous retrait 1"/>
    <w:basedOn w:val="Normal"/>
    <w:rsid w:val="009039E9"/>
    <w:pPr>
      <w:numPr>
        <w:numId w:val="12"/>
      </w:numPr>
      <w:tabs>
        <w:tab w:val="left" w:pos="-720"/>
      </w:tabs>
      <w:suppressAutoHyphens/>
      <w:jc w:val="both"/>
    </w:pPr>
    <w:rPr>
      <w:b/>
      <w:bCs/>
      <w:spacing w:val="-2"/>
      <w:sz w:val="22"/>
      <w:szCs w:val="22"/>
      <w:lang w:eastAsia="ar-SA"/>
    </w:rPr>
  </w:style>
  <w:style w:type="character" w:customStyle="1" w:styleId="Titre1Car">
    <w:name w:val="Titre 1 Car"/>
    <w:aliases w:val="Document Header1 Car,ClauseGroup_Title Car"/>
    <w:basedOn w:val="Policepardfaut"/>
    <w:link w:val="Titre1"/>
    <w:uiPriority w:val="99"/>
    <w:rsid w:val="00C300E4"/>
    <w:rPr>
      <w:rFonts w:asciiTheme="majorHAnsi" w:eastAsiaTheme="majorEastAsia" w:hAnsiTheme="majorHAnsi" w:cstheme="majorBidi"/>
      <w:color w:val="2F5496" w:themeColor="accent1" w:themeShade="BF"/>
      <w:sz w:val="32"/>
      <w:szCs w:val="32"/>
    </w:rPr>
  </w:style>
  <w:style w:type="character" w:styleId="Accentuation">
    <w:name w:val="Emphasis"/>
    <w:uiPriority w:val="20"/>
    <w:qFormat/>
    <w:rsid w:val="00C300E4"/>
    <w:rPr>
      <w:i/>
    </w:rPr>
  </w:style>
  <w:style w:type="paragraph" w:styleId="Corpsdetexte">
    <w:name w:val="Body Text"/>
    <w:aliases w:val="Corps de texte Car Car Car Car Car Car Car Car Car Car,Corps de texte Car Car Car Car Car Car Car Car Car Car Car Car Car Car Car"/>
    <w:basedOn w:val="Normal"/>
    <w:link w:val="CorpsdetexteCar"/>
    <w:qFormat/>
    <w:rsid w:val="00C300E4"/>
    <w:pPr>
      <w:widowControl w:val="0"/>
      <w:suppressAutoHyphens/>
      <w:spacing w:after="120"/>
      <w:jc w:val="both"/>
    </w:pPr>
    <w:rPr>
      <w:rFonts w:ascii="Arial" w:hAnsi="Arial" w:cs="Arial"/>
      <w:sz w:val="20"/>
      <w:szCs w:val="22"/>
      <w:lang w:eastAsia="ar-SA"/>
    </w:rPr>
  </w:style>
  <w:style w:type="character" w:customStyle="1" w:styleId="CorpsdetexteCar">
    <w:name w:val="Corps de texte Car"/>
    <w:aliases w:val="Corps de texte Car Car Car Car Car Car Car Car Car Car Car,Corps de texte Car Car Car Car Car Car Car Car Car Car Car Car Car Car Car Car"/>
    <w:basedOn w:val="Policepardfaut"/>
    <w:link w:val="Corpsdetexte"/>
    <w:rsid w:val="00C300E4"/>
    <w:rPr>
      <w:rFonts w:ascii="Arial" w:eastAsia="Times New Roman" w:hAnsi="Arial" w:cs="Arial"/>
      <w:sz w:val="20"/>
      <w:lang w:eastAsia="ar-SA"/>
    </w:rPr>
  </w:style>
  <w:style w:type="paragraph" w:customStyle="1" w:styleId="Blockquote">
    <w:name w:val="Blockquote"/>
    <w:basedOn w:val="Normal"/>
    <w:rsid w:val="00C300E4"/>
    <w:pPr>
      <w:widowControl w:val="0"/>
      <w:suppressAutoHyphens/>
      <w:spacing w:before="100" w:after="100"/>
      <w:ind w:left="360" w:right="360"/>
    </w:pPr>
    <w:rPr>
      <w:szCs w:val="20"/>
      <w:lang w:val="en-US" w:eastAsia="ar-SA"/>
    </w:rPr>
  </w:style>
  <w:style w:type="paragraph" w:customStyle="1" w:styleId="Preformatted">
    <w:name w:val="Preformatted"/>
    <w:basedOn w:val="Normal"/>
    <w:rsid w:val="00C300E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588519">
      <w:bodyDiv w:val="1"/>
      <w:marLeft w:val="0"/>
      <w:marRight w:val="0"/>
      <w:marTop w:val="0"/>
      <w:marBottom w:val="0"/>
      <w:divBdr>
        <w:top w:val="none" w:sz="0" w:space="0" w:color="auto"/>
        <w:left w:val="none" w:sz="0" w:space="0" w:color="auto"/>
        <w:bottom w:val="none" w:sz="0" w:space="0" w:color="auto"/>
        <w:right w:val="none" w:sz="0" w:space="0" w:color="auto"/>
      </w:divBdr>
    </w:div>
    <w:div w:id="1812091235">
      <w:bodyDiv w:val="1"/>
      <w:marLeft w:val="0"/>
      <w:marRight w:val="0"/>
      <w:marTop w:val="0"/>
      <w:marBottom w:val="0"/>
      <w:divBdr>
        <w:top w:val="none" w:sz="0" w:space="0" w:color="auto"/>
        <w:left w:val="none" w:sz="0" w:space="0" w:color="auto"/>
        <w:bottom w:val="none" w:sz="0" w:space="0" w:color="auto"/>
        <w:right w:val="none" w:sz="0" w:space="0" w:color="auto"/>
      </w:divBdr>
    </w:div>
    <w:div w:id="213027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latevi@at2er.tg" TargetMode="Externa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mailto:secretariat@at2er.tg%2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10</Pages>
  <Words>3799</Words>
  <Characters>20897</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Robil Nassoma</dc:creator>
  <cp:keywords/>
  <dc:description/>
  <cp:lastModifiedBy>Fabrice L. LAWSON</cp:lastModifiedBy>
  <cp:revision>116</cp:revision>
  <cp:lastPrinted>2025-07-02T10:41:00Z</cp:lastPrinted>
  <dcterms:created xsi:type="dcterms:W3CDTF">2024-10-01T12:21:00Z</dcterms:created>
  <dcterms:modified xsi:type="dcterms:W3CDTF">2025-07-04T08:34:00Z</dcterms:modified>
</cp:coreProperties>
</file>