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91D61" w14:textId="50E39433" w:rsidR="0040622B" w:rsidRPr="007E0924" w:rsidRDefault="00506FA4" w:rsidP="00B44B06">
      <w:pPr>
        <w:rPr>
          <w:b/>
          <w:sz w:val="40"/>
          <w:szCs w:val="40"/>
        </w:rPr>
      </w:pPr>
      <w:r w:rsidRPr="005C2289">
        <w:rPr>
          <w:noProof/>
        </w:rPr>
        <w:drawing>
          <wp:anchor distT="0" distB="0" distL="114300" distR="114300" simplePos="0" relativeHeight="251664384" behindDoc="0" locked="0" layoutInCell="1" allowOverlap="1" wp14:anchorId="38C1516E" wp14:editId="6004EC0C">
            <wp:simplePos x="0" y="0"/>
            <wp:positionH relativeFrom="margin">
              <wp:posOffset>2342833</wp:posOffset>
            </wp:positionH>
            <wp:positionV relativeFrom="paragraph">
              <wp:posOffset>-151130</wp:posOffset>
            </wp:positionV>
            <wp:extent cx="1404938" cy="929421"/>
            <wp:effectExtent l="0" t="0" r="5080" b="444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4938" cy="9294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2289">
        <w:rPr>
          <w:noProof/>
        </w:rPr>
        <w:drawing>
          <wp:anchor distT="0" distB="0" distL="114300" distR="114300" simplePos="0" relativeHeight="251652096" behindDoc="0" locked="0" layoutInCell="1" allowOverlap="1" wp14:anchorId="09167276" wp14:editId="560C7E1A">
            <wp:simplePos x="0" y="0"/>
            <wp:positionH relativeFrom="column">
              <wp:posOffset>-519112</wp:posOffset>
            </wp:positionH>
            <wp:positionV relativeFrom="paragraph">
              <wp:posOffset>-264160</wp:posOffset>
            </wp:positionV>
            <wp:extent cx="1858685" cy="1042988"/>
            <wp:effectExtent l="0" t="0" r="8255" b="508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85" cy="10429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2289">
        <w:rPr>
          <w:noProof/>
        </w:rPr>
        <w:drawing>
          <wp:anchor distT="0" distB="0" distL="114300" distR="114300" simplePos="0" relativeHeight="251670528" behindDoc="1" locked="0" layoutInCell="1" allowOverlap="1" wp14:anchorId="61F52BDF" wp14:editId="37476ACD">
            <wp:simplePos x="0" y="0"/>
            <wp:positionH relativeFrom="margin">
              <wp:posOffset>4871720</wp:posOffset>
            </wp:positionH>
            <wp:positionV relativeFrom="margin">
              <wp:posOffset>-326390</wp:posOffset>
            </wp:positionV>
            <wp:extent cx="1276350" cy="1276350"/>
            <wp:effectExtent l="0" t="0" r="0" b="0"/>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F90FB3" w14:textId="02C966FF" w:rsidR="00E968CF" w:rsidRPr="007E0924" w:rsidRDefault="00D849F5">
      <w:pPr>
        <w:jc w:val="center"/>
        <w:rPr>
          <w:spacing w:val="60"/>
          <w:sz w:val="32"/>
          <w:szCs w:val="32"/>
        </w:rPr>
      </w:pPr>
      <w:r w:rsidRPr="007E0924">
        <w:rPr>
          <w:color w:val="000000"/>
          <w:sz w:val="28"/>
          <w:szCs w:val="22"/>
        </w:rPr>
        <w:fldChar w:fldCharType="begin"/>
      </w:r>
      <w:r w:rsidRPr="007E0924">
        <w:rPr>
          <w:color w:val="000000"/>
          <w:sz w:val="28"/>
          <w:szCs w:val="22"/>
        </w:rPr>
        <w:instrText xml:space="preserve"> INCLUDEPICTURE "https://www.african-markets.com/images/news/west/boad-1.jpg" \* MERGEFORMATINET </w:instrText>
      </w:r>
      <w:r w:rsidRPr="007E0924">
        <w:rPr>
          <w:color w:val="000000"/>
          <w:sz w:val="28"/>
          <w:szCs w:val="22"/>
        </w:rPr>
        <w:fldChar w:fldCharType="end"/>
      </w:r>
      <w:r w:rsidR="00415DC9" w:rsidRPr="007E0924">
        <w:rPr>
          <w:color w:val="000000"/>
          <w:sz w:val="28"/>
          <w:szCs w:val="22"/>
        </w:rPr>
        <w:fldChar w:fldCharType="begin"/>
      </w:r>
      <w:r w:rsidR="00415DC9" w:rsidRPr="007E0924">
        <w:rPr>
          <w:color w:val="000000"/>
          <w:sz w:val="28"/>
          <w:szCs w:val="22"/>
        </w:rPr>
        <w:instrText xml:space="preserve"> INCLUDEPICTURE "https://www.african-markets.com/images/news/west/boad-1.jpg" \* MERGEFORMATINET </w:instrText>
      </w:r>
      <w:r w:rsidR="00415DC9" w:rsidRPr="007E0924">
        <w:rPr>
          <w:color w:val="000000"/>
          <w:sz w:val="28"/>
          <w:szCs w:val="22"/>
        </w:rPr>
        <w:fldChar w:fldCharType="separate"/>
      </w:r>
      <w:r w:rsidR="00415DC9" w:rsidRPr="003C3B67">
        <w:rPr>
          <w:color w:val="000000"/>
          <w:sz w:val="28"/>
          <w:szCs w:val="22"/>
        </w:rPr>
        <w:fldChar w:fldCharType="begin"/>
      </w:r>
      <w:r w:rsidR="00415DC9" w:rsidRPr="003C3B67">
        <w:rPr>
          <w:color w:val="000000"/>
          <w:sz w:val="28"/>
          <w:szCs w:val="22"/>
        </w:rPr>
        <w:instrText xml:space="preserve"> INCLUDEPICTURE  "https://www.african-markets.com/images/news/west/boad-1.jpg" \* MERGEFORMATINET </w:instrText>
      </w:r>
      <w:r w:rsidR="00415DC9" w:rsidRPr="003C3B67">
        <w:rPr>
          <w:color w:val="000000"/>
          <w:sz w:val="28"/>
          <w:szCs w:val="22"/>
        </w:rPr>
        <w:fldChar w:fldCharType="end"/>
      </w:r>
      <w:r w:rsidR="00415DC9" w:rsidRPr="007E0924">
        <w:rPr>
          <w:color w:val="000000"/>
          <w:sz w:val="28"/>
          <w:szCs w:val="22"/>
        </w:rPr>
        <w:fldChar w:fldCharType="end"/>
      </w:r>
      <w:r w:rsidR="004D2AD9" w:rsidRPr="007E0924">
        <w:rPr>
          <w:color w:val="000000"/>
          <w:sz w:val="28"/>
          <w:szCs w:val="22"/>
        </w:rPr>
        <w:fldChar w:fldCharType="begin"/>
      </w:r>
      <w:r w:rsidR="004D2AD9" w:rsidRPr="007E0924">
        <w:rPr>
          <w:color w:val="000000"/>
          <w:sz w:val="28"/>
          <w:szCs w:val="22"/>
        </w:rPr>
        <w:instrText xml:space="preserve"> INCLUDEPICTURE "https://www.african-markets.com/images/news/west/boad-1.jpg" \* MERGEFORMATINET </w:instrText>
      </w:r>
      <w:r w:rsidR="004D2AD9" w:rsidRPr="007E0924">
        <w:rPr>
          <w:color w:val="000000"/>
          <w:sz w:val="28"/>
          <w:szCs w:val="22"/>
        </w:rPr>
        <w:fldChar w:fldCharType="end"/>
      </w:r>
      <w:r w:rsidR="00E968CF" w:rsidRPr="007E0924">
        <w:rPr>
          <w:spacing w:val="60"/>
          <w:sz w:val="32"/>
          <w:szCs w:val="32"/>
        </w:rPr>
        <w:t xml:space="preserve">REPUBLIQUE </w:t>
      </w:r>
      <w:r w:rsidR="00B44B06" w:rsidRPr="007E0924">
        <w:rPr>
          <w:spacing w:val="60"/>
          <w:sz w:val="32"/>
          <w:szCs w:val="32"/>
        </w:rPr>
        <w:t>TOGO</w:t>
      </w:r>
      <w:r w:rsidR="00FE4189">
        <w:rPr>
          <w:spacing w:val="60"/>
          <w:sz w:val="32"/>
          <w:szCs w:val="32"/>
        </w:rPr>
        <w:t>LAISE</w:t>
      </w:r>
    </w:p>
    <w:p w14:paraId="32DBF2D6" w14:textId="77777777" w:rsidR="00E968CF" w:rsidRPr="007E0924" w:rsidRDefault="00E968CF" w:rsidP="00512AE2">
      <w:pPr>
        <w:pStyle w:val="Blockquote"/>
        <w:spacing w:before="0" w:after="0"/>
        <w:ind w:left="0" w:right="0"/>
        <w:jc w:val="center"/>
        <w:rPr>
          <w:rStyle w:val="lev"/>
        </w:rPr>
      </w:pPr>
    </w:p>
    <w:p w14:paraId="3AFFC70C" w14:textId="6C2491E8" w:rsidR="00D0689C" w:rsidRPr="007E0924" w:rsidRDefault="0044022A" w:rsidP="00512AE2">
      <w:pPr>
        <w:pStyle w:val="Blockquote"/>
        <w:spacing w:before="0" w:after="0"/>
        <w:ind w:left="0" w:right="0"/>
        <w:jc w:val="center"/>
        <w:rPr>
          <w:rStyle w:val="lev"/>
          <w:sz w:val="28"/>
          <w:szCs w:val="22"/>
        </w:rPr>
      </w:pPr>
      <w:r w:rsidRPr="007E0924">
        <w:rPr>
          <w:rStyle w:val="lev"/>
          <w:sz w:val="28"/>
          <w:szCs w:val="22"/>
        </w:rPr>
        <w:t>AVIS DE MARCHÉ DE SERVICES</w:t>
      </w:r>
    </w:p>
    <w:p w14:paraId="0183DFE5" w14:textId="77777777" w:rsidR="00E968CF" w:rsidRPr="007E0924" w:rsidRDefault="00E968CF" w:rsidP="00512AE2">
      <w:pPr>
        <w:pStyle w:val="Blockquote"/>
        <w:spacing w:before="0" w:after="0"/>
        <w:ind w:left="0" w:right="0"/>
        <w:jc w:val="center"/>
        <w:rPr>
          <w:rStyle w:val="lev"/>
          <w:sz w:val="16"/>
          <w:szCs w:val="12"/>
        </w:rPr>
      </w:pPr>
    </w:p>
    <w:p w14:paraId="3B310113" w14:textId="77777777" w:rsidR="00E968CF" w:rsidRPr="007E0924" w:rsidRDefault="00E968CF" w:rsidP="00512AE2">
      <w:pPr>
        <w:pStyle w:val="Blockquote"/>
        <w:spacing w:before="0" w:after="0"/>
        <w:ind w:left="0" w:right="0"/>
        <w:jc w:val="center"/>
        <w:rPr>
          <w:rStyle w:val="lev"/>
          <w:sz w:val="12"/>
          <w:szCs w:val="8"/>
        </w:rPr>
      </w:pPr>
    </w:p>
    <w:p w14:paraId="6203082C" w14:textId="77777777" w:rsidR="00E968CF" w:rsidRPr="007E0924" w:rsidRDefault="00E968CF" w:rsidP="00E968CF">
      <w:pPr>
        <w:jc w:val="center"/>
        <w:rPr>
          <w:b/>
          <w:sz w:val="28"/>
          <w:szCs w:val="28"/>
        </w:rPr>
      </w:pPr>
      <w:r w:rsidRPr="007E0924">
        <w:rPr>
          <w:b/>
          <w:sz w:val="28"/>
          <w:szCs w:val="28"/>
        </w:rPr>
        <w:t>Source de financement :</w:t>
      </w:r>
    </w:p>
    <w:p w14:paraId="295D7639" w14:textId="30481EC4" w:rsidR="00E968CF" w:rsidRPr="007E0924" w:rsidRDefault="00E968CF" w:rsidP="007E6B0E">
      <w:pPr>
        <w:pStyle w:val="BankNormal"/>
        <w:spacing w:after="0"/>
        <w:jc w:val="center"/>
        <w:rPr>
          <w:bCs/>
          <w:sz w:val="28"/>
          <w:szCs w:val="28"/>
        </w:rPr>
      </w:pPr>
      <w:r w:rsidRPr="007B410E">
        <w:rPr>
          <w:bCs/>
          <w:sz w:val="28"/>
          <w:szCs w:val="28"/>
        </w:rPr>
        <w:t xml:space="preserve">Accord de Prêt de la BOAD : </w:t>
      </w:r>
      <w:r w:rsidR="00804AFD" w:rsidRPr="007B410E">
        <w:rPr>
          <w:bCs/>
          <w:sz w:val="28"/>
          <w:szCs w:val="28"/>
        </w:rPr>
        <w:t>N</w:t>
      </w:r>
      <w:r w:rsidR="00804AFD" w:rsidRPr="00D825D7">
        <w:rPr>
          <w:bCs/>
          <w:sz w:val="28"/>
          <w:szCs w:val="28"/>
        </w:rPr>
        <w:t>°</w:t>
      </w:r>
      <w:r w:rsidR="007E6B0E" w:rsidRPr="00A63B99">
        <w:rPr>
          <w:bCs/>
          <w:sz w:val="28"/>
          <w:szCs w:val="28"/>
        </w:rPr>
        <w:t xml:space="preserve"> </w:t>
      </w:r>
      <w:r w:rsidR="007E6B0E" w:rsidRPr="007E0924">
        <w:rPr>
          <w:bCs/>
          <w:sz w:val="28"/>
          <w:szCs w:val="28"/>
        </w:rPr>
        <w:t xml:space="preserve">2022053/PR TG 2022 25 00 du 22 Août 2022 </w:t>
      </w:r>
      <w:r w:rsidR="00804AFD" w:rsidRPr="007E0924">
        <w:rPr>
          <w:bCs/>
          <w:sz w:val="28"/>
          <w:szCs w:val="28"/>
        </w:rPr>
        <w:t xml:space="preserve"> </w:t>
      </w:r>
    </w:p>
    <w:p w14:paraId="211C9F1B" w14:textId="77777777" w:rsidR="00E968CF" w:rsidRPr="007E0924" w:rsidRDefault="00E968CF" w:rsidP="00E968CF">
      <w:pPr>
        <w:spacing w:before="0" w:after="0"/>
        <w:jc w:val="center"/>
        <w:rPr>
          <w:rStyle w:val="lev"/>
          <w:sz w:val="8"/>
          <w:szCs w:val="8"/>
        </w:rPr>
      </w:pPr>
    </w:p>
    <w:p w14:paraId="756D1791" w14:textId="77777777" w:rsidR="00B27A6C" w:rsidRPr="007E0924" w:rsidRDefault="00B27A6C" w:rsidP="00E968CF">
      <w:pPr>
        <w:spacing w:before="0" w:after="0"/>
        <w:jc w:val="center"/>
        <w:rPr>
          <w:rStyle w:val="lev"/>
          <w:sz w:val="20"/>
        </w:rPr>
      </w:pPr>
    </w:p>
    <w:p w14:paraId="701B8F2D" w14:textId="77777777" w:rsidR="00F22A13" w:rsidRPr="007E0924" w:rsidRDefault="00F22A13" w:rsidP="00E968CF">
      <w:pPr>
        <w:spacing w:before="0" w:after="0"/>
        <w:jc w:val="center"/>
        <w:rPr>
          <w:rStyle w:val="lev"/>
          <w:sz w:val="20"/>
        </w:rPr>
      </w:pPr>
    </w:p>
    <w:p w14:paraId="14A91D22" w14:textId="68875EA6" w:rsidR="00B50D28" w:rsidRPr="007E0924" w:rsidRDefault="00B50D28" w:rsidP="003234BE">
      <w:pPr>
        <w:numPr>
          <w:ilvl w:val="12"/>
          <w:numId w:val="0"/>
        </w:numPr>
        <w:spacing w:before="0" w:after="0"/>
        <w:jc w:val="center"/>
        <w:rPr>
          <w:b/>
          <w:sz w:val="28"/>
          <w:szCs w:val="22"/>
        </w:rPr>
      </w:pPr>
      <w:bookmarkStart w:id="0" w:name="_Hlk123803002"/>
      <w:r w:rsidRPr="007E0924">
        <w:rPr>
          <w:b/>
          <w:sz w:val="28"/>
          <w:szCs w:val="22"/>
        </w:rPr>
        <w:t>A</w:t>
      </w:r>
      <w:r w:rsidR="009D16C5" w:rsidRPr="007E0924">
        <w:rPr>
          <w:b/>
          <w:sz w:val="28"/>
          <w:szCs w:val="22"/>
        </w:rPr>
        <w:t>vis de sollicitation des</w:t>
      </w:r>
      <w:r w:rsidRPr="007E0924">
        <w:rPr>
          <w:b/>
          <w:sz w:val="28"/>
          <w:szCs w:val="22"/>
        </w:rPr>
        <w:t xml:space="preserve"> Manifestation</w:t>
      </w:r>
      <w:r w:rsidR="00645075" w:rsidRPr="007E0924">
        <w:rPr>
          <w:b/>
          <w:sz w:val="28"/>
          <w:szCs w:val="22"/>
        </w:rPr>
        <w:t>s</w:t>
      </w:r>
      <w:r w:rsidRPr="007E0924">
        <w:rPr>
          <w:b/>
          <w:sz w:val="28"/>
          <w:szCs w:val="22"/>
        </w:rPr>
        <w:t xml:space="preserve"> d’Intérêt International pour </w:t>
      </w:r>
      <w:r w:rsidR="00506FA4" w:rsidRPr="007E0924">
        <w:rPr>
          <w:b/>
          <w:sz w:val="28"/>
          <w:szCs w:val="22"/>
        </w:rPr>
        <w:t>le</w:t>
      </w:r>
    </w:p>
    <w:p w14:paraId="5CA1399A" w14:textId="697BC933" w:rsidR="008C366F" w:rsidRPr="007E0924" w:rsidRDefault="00B428D8" w:rsidP="003234BE">
      <w:pPr>
        <w:numPr>
          <w:ilvl w:val="12"/>
          <w:numId w:val="0"/>
        </w:numPr>
        <w:spacing w:before="0" w:after="0"/>
        <w:jc w:val="center"/>
        <w:rPr>
          <w:b/>
          <w:sz w:val="28"/>
          <w:szCs w:val="22"/>
        </w:rPr>
      </w:pPr>
      <w:r w:rsidRPr="007E0924">
        <w:rPr>
          <w:b/>
          <w:sz w:val="28"/>
          <w:szCs w:val="22"/>
        </w:rPr>
        <w:t xml:space="preserve">Recrutement d’un </w:t>
      </w:r>
      <w:r w:rsidR="00637213" w:rsidRPr="007E0924">
        <w:rPr>
          <w:b/>
          <w:sz w:val="28"/>
          <w:szCs w:val="22"/>
        </w:rPr>
        <w:t>bureau chargé des prestations relative</w:t>
      </w:r>
      <w:r w:rsidR="00022770">
        <w:rPr>
          <w:b/>
          <w:sz w:val="28"/>
          <w:szCs w:val="22"/>
        </w:rPr>
        <w:t>s</w:t>
      </w:r>
      <w:r w:rsidR="00637213" w:rsidRPr="007E0924">
        <w:rPr>
          <w:b/>
          <w:sz w:val="28"/>
          <w:szCs w:val="22"/>
        </w:rPr>
        <w:t xml:space="preserve"> au suivi et à l’évaluation du projet. </w:t>
      </w:r>
    </w:p>
    <w:p w14:paraId="6A573267" w14:textId="77777777" w:rsidR="00F22A13" w:rsidRPr="007E0924" w:rsidRDefault="00F22A13" w:rsidP="003234BE">
      <w:pPr>
        <w:numPr>
          <w:ilvl w:val="12"/>
          <w:numId w:val="0"/>
        </w:numPr>
        <w:spacing w:before="0" w:after="0"/>
        <w:jc w:val="center"/>
        <w:rPr>
          <w:b/>
          <w:sz w:val="28"/>
          <w:szCs w:val="22"/>
        </w:rPr>
      </w:pPr>
    </w:p>
    <w:p w14:paraId="18D773FD" w14:textId="77777777" w:rsidR="000A2D56" w:rsidRPr="007B410E" w:rsidRDefault="000A2D56" w:rsidP="003234BE">
      <w:pPr>
        <w:numPr>
          <w:ilvl w:val="12"/>
          <w:numId w:val="0"/>
        </w:numPr>
        <w:spacing w:before="0" w:after="0"/>
        <w:jc w:val="center"/>
        <w:rPr>
          <w:b/>
          <w:sz w:val="18"/>
          <w:szCs w:val="14"/>
        </w:rPr>
      </w:pPr>
    </w:p>
    <w:p w14:paraId="030BBD34" w14:textId="649A663F" w:rsidR="00A10370" w:rsidRPr="007B410E" w:rsidRDefault="00B44B06" w:rsidP="00F837EB">
      <w:pPr>
        <w:numPr>
          <w:ilvl w:val="12"/>
          <w:numId w:val="0"/>
        </w:numPr>
        <w:jc w:val="center"/>
        <w:rPr>
          <w:b/>
          <w:i/>
          <w:iCs/>
          <w:sz w:val="32"/>
          <w:szCs w:val="24"/>
        </w:rPr>
      </w:pPr>
      <w:bookmarkStart w:id="1" w:name="_Hlk123709065"/>
      <w:bookmarkEnd w:id="0"/>
      <w:r w:rsidRPr="007B410E">
        <w:rPr>
          <w:b/>
          <w:sz w:val="32"/>
          <w:szCs w:val="24"/>
        </w:rPr>
        <w:t>AMI</w:t>
      </w:r>
      <w:r w:rsidR="00350439" w:rsidRPr="007B410E">
        <w:rPr>
          <w:b/>
          <w:sz w:val="32"/>
          <w:szCs w:val="24"/>
        </w:rPr>
        <w:t>I</w:t>
      </w:r>
      <w:r w:rsidRPr="007B410E">
        <w:rPr>
          <w:b/>
          <w:sz w:val="32"/>
          <w:szCs w:val="24"/>
        </w:rPr>
        <w:t xml:space="preserve"> N°</w:t>
      </w:r>
      <w:r w:rsidR="00900BBB" w:rsidRPr="007B410E">
        <w:rPr>
          <w:b/>
          <w:sz w:val="32"/>
          <w:szCs w:val="24"/>
        </w:rPr>
        <w:t>006</w:t>
      </w:r>
      <w:r w:rsidRPr="007B410E">
        <w:rPr>
          <w:b/>
          <w:sz w:val="32"/>
          <w:szCs w:val="24"/>
        </w:rPr>
        <w:t>/AT2ER/</w:t>
      </w:r>
      <w:r w:rsidR="00022770" w:rsidRPr="007B410E">
        <w:rPr>
          <w:b/>
          <w:sz w:val="32"/>
          <w:szCs w:val="24"/>
        </w:rPr>
        <w:t>CENTRALE</w:t>
      </w:r>
      <w:r w:rsidR="000E23A3" w:rsidRPr="007B410E">
        <w:rPr>
          <w:b/>
          <w:sz w:val="32"/>
          <w:szCs w:val="24"/>
        </w:rPr>
        <w:t>-</w:t>
      </w:r>
      <w:r w:rsidR="00022770" w:rsidRPr="007B410E">
        <w:rPr>
          <w:b/>
          <w:sz w:val="32"/>
          <w:szCs w:val="24"/>
        </w:rPr>
        <w:t>AWANDJELO/</w:t>
      </w:r>
      <w:r w:rsidRPr="007B410E">
        <w:rPr>
          <w:b/>
          <w:sz w:val="32"/>
          <w:szCs w:val="24"/>
        </w:rPr>
        <w:t>PRMP/202</w:t>
      </w:r>
      <w:r w:rsidR="00BC1944" w:rsidRPr="007B410E">
        <w:rPr>
          <w:b/>
          <w:sz w:val="32"/>
          <w:szCs w:val="24"/>
        </w:rPr>
        <w:t>6</w:t>
      </w:r>
      <w:r w:rsidR="00A330B5" w:rsidRPr="007B410E">
        <w:rPr>
          <w:b/>
          <w:sz w:val="32"/>
          <w:szCs w:val="24"/>
        </w:rPr>
        <w:t xml:space="preserve"> du </w:t>
      </w:r>
      <w:r w:rsidR="00053052" w:rsidRPr="007B410E">
        <w:rPr>
          <w:b/>
          <w:sz w:val="32"/>
          <w:szCs w:val="24"/>
        </w:rPr>
        <w:t>02</w:t>
      </w:r>
      <w:r w:rsidR="00BD7EDB" w:rsidRPr="007B410E">
        <w:rPr>
          <w:b/>
          <w:sz w:val="32"/>
          <w:szCs w:val="24"/>
        </w:rPr>
        <w:t xml:space="preserve"> Juillet</w:t>
      </w:r>
      <w:r w:rsidR="00A330B5" w:rsidRPr="007B410E">
        <w:rPr>
          <w:b/>
          <w:sz w:val="32"/>
          <w:szCs w:val="24"/>
        </w:rPr>
        <w:t xml:space="preserve"> 202</w:t>
      </w:r>
      <w:r w:rsidR="00BC1944" w:rsidRPr="007B410E">
        <w:rPr>
          <w:b/>
          <w:sz w:val="32"/>
          <w:szCs w:val="24"/>
        </w:rPr>
        <w:t>6</w:t>
      </w:r>
    </w:p>
    <w:bookmarkEnd w:id="1"/>
    <w:p w14:paraId="1101B111" w14:textId="77777777" w:rsidR="0040622B" w:rsidRPr="007E0924" w:rsidRDefault="0040622B" w:rsidP="00A10370">
      <w:pPr>
        <w:numPr>
          <w:ilvl w:val="12"/>
          <w:numId w:val="0"/>
        </w:numPr>
        <w:jc w:val="center"/>
        <w:rPr>
          <w:b/>
          <w:sz w:val="2"/>
          <w:szCs w:val="2"/>
        </w:rPr>
      </w:pPr>
    </w:p>
    <w:p w14:paraId="6D52CFD5" w14:textId="77777777" w:rsidR="00F22A13" w:rsidRPr="007E0924" w:rsidRDefault="00F22A13" w:rsidP="00A10370">
      <w:pPr>
        <w:numPr>
          <w:ilvl w:val="12"/>
          <w:numId w:val="0"/>
        </w:numPr>
        <w:jc w:val="center"/>
        <w:rPr>
          <w:b/>
          <w:sz w:val="2"/>
          <w:szCs w:val="2"/>
        </w:rPr>
      </w:pPr>
    </w:p>
    <w:p w14:paraId="077C552E" w14:textId="77777777" w:rsidR="00BC1944" w:rsidRPr="007E0924" w:rsidRDefault="00BC1944" w:rsidP="00BC1944">
      <w:pPr>
        <w:widowControl/>
        <w:spacing w:after="200"/>
        <w:jc w:val="center"/>
        <w:rPr>
          <w:b/>
          <w:sz w:val="28"/>
          <w:szCs w:val="28"/>
        </w:rPr>
      </w:pPr>
      <w:bookmarkStart w:id="2" w:name="_Hlk178759576"/>
      <w:bookmarkStart w:id="3" w:name="_Hlk123709101"/>
      <w:r w:rsidRPr="007E0924">
        <w:rPr>
          <w:b/>
          <w:sz w:val="28"/>
          <w:szCs w:val="28"/>
        </w:rPr>
        <w:t xml:space="preserve">PROJET DE CONSTRUCTION </w:t>
      </w:r>
      <w:bookmarkStart w:id="4" w:name="_Hlk216779315"/>
      <w:r w:rsidRPr="007E0924">
        <w:rPr>
          <w:b/>
          <w:sz w:val="28"/>
          <w:szCs w:val="28"/>
        </w:rPr>
        <w:t>D’UNE CENTRALE SOLAIRE PHOTOVOLTAIQUE DE 42 MWc A AWANDJELO EN REPUBLIQUE TOGOLAISE</w:t>
      </w:r>
      <w:bookmarkEnd w:id="4"/>
    </w:p>
    <w:p w14:paraId="0CC6E78E" w14:textId="77777777" w:rsidR="00F22A13" w:rsidRPr="007E0924" w:rsidRDefault="00F22A13" w:rsidP="00BC1944">
      <w:pPr>
        <w:widowControl/>
        <w:spacing w:after="200"/>
        <w:jc w:val="center"/>
        <w:rPr>
          <w:b/>
          <w:sz w:val="28"/>
          <w:szCs w:val="28"/>
        </w:rPr>
      </w:pPr>
    </w:p>
    <w:bookmarkEnd w:id="2"/>
    <w:bookmarkEnd w:id="3"/>
    <w:p w14:paraId="00E7A98F" w14:textId="4D7F6F17" w:rsidR="000158D5" w:rsidRPr="007E0924" w:rsidRDefault="00424C06" w:rsidP="00424C06">
      <w:pPr>
        <w:numPr>
          <w:ilvl w:val="12"/>
          <w:numId w:val="0"/>
        </w:numPr>
        <w:jc w:val="center"/>
        <w:rPr>
          <w:bCs/>
          <w:sz w:val="28"/>
          <w:szCs w:val="22"/>
        </w:rPr>
      </w:pPr>
      <w:r w:rsidRPr="003C3B67">
        <w:rPr>
          <w:bCs/>
          <w:sz w:val="28"/>
          <w:szCs w:val="22"/>
        </w:rPr>
        <w:t>Procédure restreinte internationale</w:t>
      </w:r>
      <w:r w:rsidR="00191C52" w:rsidRPr="003C3B67">
        <w:rPr>
          <w:bCs/>
          <w:sz w:val="28"/>
          <w:szCs w:val="22"/>
        </w:rPr>
        <w:t xml:space="preserve"> </w:t>
      </w:r>
      <w:r w:rsidRPr="003C3B67">
        <w:rPr>
          <w:bCs/>
          <w:sz w:val="28"/>
          <w:szCs w:val="22"/>
        </w:rPr>
        <w:t xml:space="preserve">– </w:t>
      </w:r>
      <w:r w:rsidR="00ED4439" w:rsidRPr="003C3B67">
        <w:rPr>
          <w:bCs/>
          <w:sz w:val="28"/>
          <w:szCs w:val="22"/>
        </w:rPr>
        <w:t>Préqualification</w:t>
      </w:r>
      <w:r w:rsidRPr="003C3B67">
        <w:rPr>
          <w:bCs/>
          <w:sz w:val="28"/>
          <w:szCs w:val="22"/>
        </w:rPr>
        <w:t xml:space="preserve"> de candidats</w:t>
      </w:r>
    </w:p>
    <w:p w14:paraId="62FD381A" w14:textId="46844ADF" w:rsidR="00F22A13" w:rsidRPr="007E0924" w:rsidRDefault="00F22A13">
      <w:pPr>
        <w:widowControl/>
        <w:suppressAutoHyphens w:val="0"/>
        <w:spacing w:before="0" w:after="0"/>
        <w:rPr>
          <w:b/>
          <w:sz w:val="10"/>
          <w:szCs w:val="6"/>
        </w:rPr>
      </w:pPr>
      <w:r w:rsidRPr="007E0924">
        <w:rPr>
          <w:b/>
          <w:sz w:val="10"/>
          <w:szCs w:val="6"/>
        </w:rPr>
        <w:br w:type="page"/>
      </w:r>
    </w:p>
    <w:p w14:paraId="7FC1E356" w14:textId="77777777" w:rsidR="0044022A" w:rsidRPr="007E0924" w:rsidRDefault="0044022A">
      <w:pPr>
        <w:pStyle w:val="Titre1"/>
        <w:spacing w:before="0" w:after="0"/>
        <w:rPr>
          <w:rStyle w:val="lev"/>
          <w:rFonts w:ascii="Times New Roman" w:hAnsi="Times New Roman" w:cs="Times New Roman"/>
          <w:sz w:val="22"/>
          <w:szCs w:val="22"/>
        </w:rPr>
      </w:pPr>
      <w:r w:rsidRPr="007E0924">
        <w:rPr>
          <w:rStyle w:val="lev"/>
          <w:rFonts w:ascii="Times New Roman" w:hAnsi="Times New Roman" w:cs="Times New Roman"/>
          <w:sz w:val="22"/>
          <w:szCs w:val="22"/>
        </w:rPr>
        <w:lastRenderedPageBreak/>
        <w:t>DESCRIPTION DU PROJET</w:t>
      </w:r>
    </w:p>
    <w:p w14:paraId="4C3B46F6" w14:textId="77777777" w:rsidR="00E968CF" w:rsidRPr="007E0924" w:rsidRDefault="00E968CF" w:rsidP="00E968CF">
      <w:pPr>
        <w:rPr>
          <w:sz w:val="20"/>
        </w:rPr>
      </w:pPr>
    </w:p>
    <w:p w14:paraId="191E3ACA" w14:textId="77777777" w:rsidR="0044022A" w:rsidRPr="007B410E" w:rsidRDefault="0044022A">
      <w:pPr>
        <w:spacing w:before="0" w:after="0"/>
        <w:rPr>
          <w:rStyle w:val="lev"/>
          <w:szCs w:val="24"/>
        </w:rPr>
      </w:pPr>
      <w:r w:rsidRPr="007B410E">
        <w:rPr>
          <w:rStyle w:val="lev"/>
          <w:szCs w:val="24"/>
        </w:rPr>
        <w:t>1. Type de marché</w:t>
      </w:r>
    </w:p>
    <w:p w14:paraId="2ABA0500" w14:textId="29890EDF" w:rsidR="0044022A" w:rsidRPr="007B410E" w:rsidRDefault="0034236E" w:rsidP="00724B98">
      <w:pPr>
        <w:pStyle w:val="Blockquote"/>
        <w:spacing w:after="0"/>
        <w:ind w:left="0" w:right="0"/>
        <w:jc w:val="both"/>
        <w:rPr>
          <w:rStyle w:val="Accentuation"/>
          <w:b/>
          <w:bCs/>
          <w:szCs w:val="24"/>
        </w:rPr>
      </w:pPr>
      <w:r w:rsidRPr="007B410E">
        <w:rPr>
          <w:b/>
          <w:bCs/>
          <w:szCs w:val="24"/>
        </w:rPr>
        <w:t>« Au forfait »</w:t>
      </w:r>
    </w:p>
    <w:p w14:paraId="3D5E9808" w14:textId="77777777" w:rsidR="0044022A" w:rsidRPr="007B410E" w:rsidRDefault="0044022A">
      <w:pPr>
        <w:spacing w:before="0" w:after="0"/>
        <w:rPr>
          <w:szCs w:val="24"/>
        </w:rPr>
      </w:pPr>
    </w:p>
    <w:p w14:paraId="70FB4C3C" w14:textId="77777777" w:rsidR="0044022A" w:rsidRPr="007B410E" w:rsidRDefault="0044022A">
      <w:pPr>
        <w:spacing w:before="0" w:after="0"/>
        <w:rPr>
          <w:rStyle w:val="lev"/>
          <w:szCs w:val="24"/>
        </w:rPr>
      </w:pPr>
      <w:r w:rsidRPr="007B410E">
        <w:rPr>
          <w:rStyle w:val="lev"/>
          <w:szCs w:val="24"/>
        </w:rPr>
        <w:t>2. Description du marché</w:t>
      </w:r>
    </w:p>
    <w:p w14:paraId="172BE60D" w14:textId="7C22E60A" w:rsidR="00557461" w:rsidRPr="007B410E" w:rsidRDefault="00105D20" w:rsidP="00724B98">
      <w:pPr>
        <w:pStyle w:val="Blockquote"/>
        <w:ind w:left="0" w:right="4"/>
        <w:jc w:val="both"/>
        <w:rPr>
          <w:b/>
          <w:bCs/>
          <w:iCs/>
          <w:szCs w:val="24"/>
        </w:rPr>
      </w:pPr>
      <w:r w:rsidRPr="007B410E">
        <w:rPr>
          <w:rStyle w:val="Accentuation"/>
          <w:i w:val="0"/>
          <w:iCs/>
          <w:szCs w:val="24"/>
        </w:rPr>
        <w:t>L’Etat Togolais a sollicité des fonds auprès de la Banque Ouest Africaine de Développement</w:t>
      </w:r>
      <w:r w:rsidR="001E732C" w:rsidRPr="007B410E">
        <w:rPr>
          <w:rStyle w:val="Accentuation"/>
          <w:i w:val="0"/>
          <w:iCs/>
          <w:szCs w:val="24"/>
        </w:rPr>
        <w:t xml:space="preserve"> (BOAD)</w:t>
      </w:r>
      <w:r w:rsidRPr="007B410E">
        <w:rPr>
          <w:rStyle w:val="Accentuation"/>
          <w:i w:val="0"/>
          <w:iCs/>
          <w:szCs w:val="24"/>
        </w:rPr>
        <w:t xml:space="preserve"> en vue d</w:t>
      </w:r>
      <w:r w:rsidR="001E732C" w:rsidRPr="007B410E">
        <w:rPr>
          <w:rStyle w:val="Accentuation"/>
          <w:i w:val="0"/>
          <w:iCs/>
          <w:szCs w:val="24"/>
        </w:rPr>
        <w:t>u</w:t>
      </w:r>
      <w:r w:rsidRPr="007B410E">
        <w:rPr>
          <w:rStyle w:val="Accentuation"/>
          <w:i w:val="0"/>
          <w:iCs/>
          <w:szCs w:val="24"/>
        </w:rPr>
        <w:t xml:space="preserve"> financement du </w:t>
      </w:r>
      <w:r w:rsidR="00BC1944" w:rsidRPr="007B410E">
        <w:rPr>
          <w:b/>
          <w:iCs/>
          <w:szCs w:val="24"/>
        </w:rPr>
        <w:t xml:space="preserve">projet de construction d’une centrale solaire </w:t>
      </w:r>
      <w:r w:rsidR="00E148FC" w:rsidRPr="007B410E">
        <w:rPr>
          <w:b/>
          <w:iCs/>
          <w:szCs w:val="24"/>
        </w:rPr>
        <w:t>photovoltaïque</w:t>
      </w:r>
      <w:r w:rsidR="00BC1944" w:rsidRPr="007B410E">
        <w:rPr>
          <w:b/>
          <w:iCs/>
          <w:szCs w:val="24"/>
        </w:rPr>
        <w:t xml:space="preserve"> de 42 </w:t>
      </w:r>
      <w:r w:rsidR="00E148FC" w:rsidRPr="007B410E">
        <w:rPr>
          <w:b/>
          <w:iCs/>
          <w:szCs w:val="24"/>
        </w:rPr>
        <w:t>MW</w:t>
      </w:r>
      <w:r w:rsidR="00BC1944" w:rsidRPr="007B410E">
        <w:rPr>
          <w:b/>
          <w:iCs/>
          <w:szCs w:val="24"/>
        </w:rPr>
        <w:t xml:space="preserve">c </w:t>
      </w:r>
      <w:r w:rsidR="00E148FC" w:rsidRPr="007B410E">
        <w:rPr>
          <w:b/>
          <w:iCs/>
          <w:szCs w:val="24"/>
        </w:rPr>
        <w:t>à</w:t>
      </w:r>
      <w:r w:rsidR="00BC1944" w:rsidRPr="007B410E">
        <w:rPr>
          <w:b/>
          <w:iCs/>
          <w:szCs w:val="24"/>
        </w:rPr>
        <w:t xml:space="preserve"> </w:t>
      </w:r>
      <w:r w:rsidR="00E148FC" w:rsidRPr="007B410E">
        <w:rPr>
          <w:b/>
          <w:iCs/>
          <w:szCs w:val="24"/>
        </w:rPr>
        <w:t>A</w:t>
      </w:r>
      <w:r w:rsidR="00BC1944" w:rsidRPr="007B410E">
        <w:rPr>
          <w:b/>
          <w:iCs/>
          <w:szCs w:val="24"/>
        </w:rPr>
        <w:t xml:space="preserve">wandjelo en </w:t>
      </w:r>
      <w:r w:rsidR="00E148FC" w:rsidRPr="007B410E">
        <w:rPr>
          <w:b/>
          <w:iCs/>
          <w:szCs w:val="24"/>
        </w:rPr>
        <w:t>Ré</w:t>
      </w:r>
      <w:r w:rsidR="00BC1944" w:rsidRPr="007B410E">
        <w:rPr>
          <w:b/>
          <w:iCs/>
          <w:szCs w:val="24"/>
        </w:rPr>
        <w:t xml:space="preserve">publique </w:t>
      </w:r>
      <w:r w:rsidR="00E148FC" w:rsidRPr="007B410E">
        <w:rPr>
          <w:b/>
          <w:iCs/>
          <w:szCs w:val="24"/>
        </w:rPr>
        <w:t>T</w:t>
      </w:r>
      <w:r w:rsidR="00BC1944" w:rsidRPr="007B410E">
        <w:rPr>
          <w:b/>
          <w:iCs/>
          <w:szCs w:val="24"/>
        </w:rPr>
        <w:t>ogolaise</w:t>
      </w:r>
      <w:r w:rsidR="00C06C33" w:rsidRPr="007B410E">
        <w:rPr>
          <w:b/>
          <w:bCs/>
          <w:iCs/>
          <w:szCs w:val="24"/>
        </w:rPr>
        <w:t xml:space="preserve">, </w:t>
      </w:r>
      <w:r w:rsidR="00C06C33" w:rsidRPr="007B410E">
        <w:rPr>
          <w:iCs/>
          <w:szCs w:val="24"/>
        </w:rPr>
        <w:t>et a l’intention d’utiliser une partie des ressources</w:t>
      </w:r>
      <w:r w:rsidR="00143E30" w:rsidRPr="007B410E">
        <w:rPr>
          <w:iCs/>
          <w:szCs w:val="24"/>
        </w:rPr>
        <w:t xml:space="preserve"> du financement</w:t>
      </w:r>
      <w:r w:rsidR="00C06C33" w:rsidRPr="007B410E">
        <w:rPr>
          <w:iCs/>
          <w:szCs w:val="24"/>
        </w:rPr>
        <w:t xml:space="preserve"> pour</w:t>
      </w:r>
      <w:r w:rsidR="00143E30" w:rsidRPr="007B410E">
        <w:rPr>
          <w:iCs/>
          <w:szCs w:val="24"/>
        </w:rPr>
        <w:t xml:space="preserve"> effectuer les paiements au titre </w:t>
      </w:r>
      <w:r w:rsidR="007C75AA" w:rsidRPr="007B410E">
        <w:rPr>
          <w:iCs/>
          <w:szCs w:val="24"/>
        </w:rPr>
        <w:t xml:space="preserve">du marché relatif au recrutement d’un cabinet chargé du </w:t>
      </w:r>
      <w:r w:rsidR="007C75AA" w:rsidRPr="007B410E">
        <w:rPr>
          <w:b/>
          <w:bCs/>
          <w:iCs/>
          <w:szCs w:val="24"/>
        </w:rPr>
        <w:t>Suivi et de l’évaluation des résultats de développement du projet</w:t>
      </w:r>
      <w:r w:rsidR="001C5D9E" w:rsidRPr="007B410E">
        <w:rPr>
          <w:b/>
          <w:bCs/>
          <w:iCs/>
          <w:szCs w:val="24"/>
        </w:rPr>
        <w:t>.</w:t>
      </w:r>
    </w:p>
    <w:p w14:paraId="25E0E70F" w14:textId="0FEBF836" w:rsidR="00105D20" w:rsidRPr="007B410E" w:rsidRDefault="00105D20" w:rsidP="00143E30">
      <w:pPr>
        <w:pStyle w:val="Blockquote"/>
        <w:spacing w:before="0"/>
        <w:ind w:left="0" w:right="0"/>
        <w:jc w:val="both"/>
        <w:rPr>
          <w:rStyle w:val="Accentuation"/>
          <w:i w:val="0"/>
          <w:iCs/>
          <w:szCs w:val="24"/>
        </w:rPr>
      </w:pPr>
      <w:r w:rsidRPr="007B410E">
        <w:rPr>
          <w:rStyle w:val="Accentuation"/>
          <w:i w:val="0"/>
          <w:iCs/>
          <w:szCs w:val="24"/>
        </w:rPr>
        <w:t>L’Agence Togolaise d’Electrification Rurale et des Energies Renouvelables (AT2ER) assure la maîtrise d’ouvrage déléguée</w:t>
      </w:r>
      <w:r w:rsidR="00F11089" w:rsidRPr="007B410E">
        <w:rPr>
          <w:rStyle w:val="Accentuation"/>
          <w:i w:val="0"/>
          <w:iCs/>
          <w:szCs w:val="24"/>
        </w:rPr>
        <w:t>.</w:t>
      </w:r>
    </w:p>
    <w:p w14:paraId="4FE059BC" w14:textId="54ECA2F9" w:rsidR="00F11089" w:rsidRPr="007B410E" w:rsidRDefault="00BA7E37" w:rsidP="002701D8">
      <w:pPr>
        <w:pStyle w:val="Blockquote"/>
        <w:spacing w:before="0" w:after="0"/>
        <w:ind w:left="0" w:right="4"/>
        <w:jc w:val="both"/>
        <w:rPr>
          <w:rStyle w:val="Accentuation"/>
          <w:i w:val="0"/>
          <w:iCs/>
          <w:szCs w:val="24"/>
        </w:rPr>
      </w:pPr>
      <w:bookmarkStart w:id="5" w:name="_Hlk123805863"/>
      <w:r w:rsidRPr="007B410E">
        <w:rPr>
          <w:rStyle w:val="Accentuation"/>
          <w:i w:val="0"/>
          <w:iCs/>
          <w:szCs w:val="24"/>
        </w:rPr>
        <w:t xml:space="preserve">Les services attendus du </w:t>
      </w:r>
      <w:r w:rsidR="00ED4439" w:rsidRPr="007B410E">
        <w:rPr>
          <w:rStyle w:val="Accentuation"/>
          <w:i w:val="0"/>
          <w:iCs/>
          <w:szCs w:val="24"/>
        </w:rPr>
        <w:t>cabinet consistent</w:t>
      </w:r>
      <w:r w:rsidRPr="007B410E">
        <w:rPr>
          <w:rStyle w:val="Accentuation"/>
          <w:i w:val="0"/>
          <w:iCs/>
          <w:szCs w:val="24"/>
        </w:rPr>
        <w:t xml:space="preserve"> au </w:t>
      </w:r>
      <w:r w:rsidR="00EC1BDE" w:rsidRPr="007B410E">
        <w:rPr>
          <w:rStyle w:val="Accentuation"/>
          <w:i w:val="0"/>
          <w:iCs/>
          <w:szCs w:val="24"/>
        </w:rPr>
        <w:t>Suivi et à l’</w:t>
      </w:r>
      <w:r w:rsidR="00663A77" w:rsidRPr="007B410E">
        <w:rPr>
          <w:rStyle w:val="Accentuation"/>
          <w:i w:val="0"/>
          <w:iCs/>
          <w:szCs w:val="24"/>
        </w:rPr>
        <w:t>évaluation des résultats de développement du projet de construction d’une centrale solaire photovoltaïque de 42 MWc à Awandjélo en République Togolaise</w:t>
      </w:r>
      <w:r w:rsidR="00F11089" w:rsidRPr="007B410E">
        <w:rPr>
          <w:rStyle w:val="Accentuation"/>
          <w:i w:val="0"/>
          <w:iCs/>
          <w:szCs w:val="24"/>
        </w:rPr>
        <w:t xml:space="preserve"> : </w:t>
      </w:r>
    </w:p>
    <w:p w14:paraId="009DB605" w14:textId="3393D7FB" w:rsidR="00F11089" w:rsidRPr="007B410E" w:rsidRDefault="00F11089" w:rsidP="00F11089">
      <w:pPr>
        <w:pStyle w:val="Blockquote"/>
        <w:numPr>
          <w:ilvl w:val="0"/>
          <w:numId w:val="21"/>
        </w:numPr>
        <w:spacing w:before="0" w:after="0"/>
        <w:ind w:right="4"/>
        <w:jc w:val="both"/>
        <w:rPr>
          <w:rStyle w:val="Accentuation"/>
          <w:i w:val="0"/>
          <w:iCs/>
          <w:szCs w:val="24"/>
        </w:rPr>
      </w:pPr>
      <w:r w:rsidRPr="007B410E">
        <w:rPr>
          <w:rStyle w:val="Accentuation"/>
          <w:i w:val="0"/>
          <w:iCs/>
          <w:szCs w:val="24"/>
        </w:rPr>
        <w:t>Construction d’une centrale solaire photovoltaïque de 42 MWc (y compris la sous-station en sortie de la centrale), la construction d’environ 3</w:t>
      </w:r>
      <w:r w:rsidR="007E6B0E" w:rsidRPr="007B410E">
        <w:rPr>
          <w:rStyle w:val="Accentuation"/>
          <w:i w:val="0"/>
          <w:iCs/>
          <w:szCs w:val="24"/>
        </w:rPr>
        <w:t>,5</w:t>
      </w:r>
      <w:r w:rsidRPr="007B410E">
        <w:rPr>
          <w:rStyle w:val="Accentuation"/>
          <w:i w:val="0"/>
          <w:iCs/>
          <w:szCs w:val="24"/>
        </w:rPr>
        <w:t xml:space="preserve"> km de lignes électriques d’évacuation HTB de 161kV </w:t>
      </w:r>
      <w:r w:rsidR="007E6B0E" w:rsidRPr="007B410E">
        <w:rPr>
          <w:rStyle w:val="Accentuation"/>
          <w:i w:val="0"/>
          <w:iCs/>
          <w:szCs w:val="24"/>
        </w:rPr>
        <w:t xml:space="preserve">double terne </w:t>
      </w:r>
      <w:r w:rsidRPr="007B410E">
        <w:rPr>
          <w:rStyle w:val="Accentuation"/>
          <w:i w:val="0"/>
          <w:iCs/>
          <w:szCs w:val="24"/>
        </w:rPr>
        <w:t>et le raccordement en coupure d’artère sur la ligne existante Sokodé - Kara ;</w:t>
      </w:r>
    </w:p>
    <w:p w14:paraId="3C863969" w14:textId="77777777" w:rsidR="00F11089" w:rsidRPr="007B410E" w:rsidRDefault="00F11089" w:rsidP="00F11089">
      <w:pPr>
        <w:pStyle w:val="Blockquote"/>
        <w:numPr>
          <w:ilvl w:val="0"/>
          <w:numId w:val="21"/>
        </w:numPr>
        <w:spacing w:before="0" w:after="0"/>
        <w:ind w:right="4"/>
        <w:jc w:val="both"/>
        <w:rPr>
          <w:rStyle w:val="Accentuation"/>
          <w:i w:val="0"/>
          <w:iCs/>
          <w:szCs w:val="24"/>
        </w:rPr>
      </w:pPr>
      <w:r w:rsidRPr="007B410E">
        <w:rPr>
          <w:rStyle w:val="Accentuation"/>
          <w:i w:val="0"/>
          <w:iCs/>
          <w:szCs w:val="24"/>
        </w:rPr>
        <w:t>Construction des ouvrages qui seront réalisés dans le cadre du Plan de Gestion Environnemental et Social (PGES) et des mesures d’accompagnement du projet ;</w:t>
      </w:r>
    </w:p>
    <w:p w14:paraId="5DACC94A" w14:textId="1535092B" w:rsidR="00F11089" w:rsidRPr="007B410E" w:rsidRDefault="00F11089" w:rsidP="00F11089">
      <w:pPr>
        <w:pStyle w:val="Blockquote"/>
        <w:numPr>
          <w:ilvl w:val="0"/>
          <w:numId w:val="21"/>
        </w:numPr>
        <w:spacing w:before="0" w:after="0"/>
        <w:ind w:right="4"/>
        <w:jc w:val="both"/>
        <w:rPr>
          <w:rStyle w:val="Accentuation"/>
          <w:i w:val="0"/>
          <w:iCs/>
          <w:szCs w:val="24"/>
        </w:rPr>
      </w:pPr>
      <w:r w:rsidRPr="007B410E">
        <w:rPr>
          <w:rStyle w:val="Accentuation"/>
          <w:i w:val="0"/>
          <w:iCs/>
          <w:szCs w:val="24"/>
        </w:rPr>
        <w:t>Construction d</w:t>
      </w:r>
      <w:r w:rsidR="00411E05" w:rsidRPr="007B410E">
        <w:rPr>
          <w:rStyle w:val="Accentuation"/>
          <w:i w:val="0"/>
          <w:iCs/>
          <w:szCs w:val="24"/>
        </w:rPr>
        <w:t>’un</w:t>
      </w:r>
      <w:r w:rsidRPr="007B410E">
        <w:rPr>
          <w:rStyle w:val="Accentuation"/>
          <w:i w:val="0"/>
          <w:iCs/>
          <w:szCs w:val="24"/>
        </w:rPr>
        <w:t xml:space="preserve"> bâtiment administratif </w:t>
      </w:r>
      <w:r w:rsidR="00411E05" w:rsidRPr="007B410E">
        <w:rPr>
          <w:rStyle w:val="Accentuation"/>
          <w:i w:val="0"/>
          <w:iCs/>
          <w:szCs w:val="24"/>
        </w:rPr>
        <w:t xml:space="preserve">pour </w:t>
      </w:r>
      <w:r w:rsidR="007E6B0E" w:rsidRPr="007B410E">
        <w:rPr>
          <w:rStyle w:val="Accentuation"/>
          <w:i w:val="0"/>
          <w:iCs/>
          <w:szCs w:val="24"/>
        </w:rPr>
        <w:t>l’Agence Togolaise d’Electrification Rurale et des Energies Renouvelables (AT2ER) désigné Maitre d’Ouvrage Délégué (</w:t>
      </w:r>
      <w:r w:rsidR="00411E05" w:rsidRPr="007B410E">
        <w:rPr>
          <w:rStyle w:val="Accentuation"/>
          <w:i w:val="0"/>
          <w:iCs/>
          <w:szCs w:val="24"/>
        </w:rPr>
        <w:t>MOD</w:t>
      </w:r>
      <w:r w:rsidR="007E6B0E" w:rsidRPr="007B410E">
        <w:rPr>
          <w:rStyle w:val="Accentuation"/>
          <w:i w:val="0"/>
          <w:iCs/>
          <w:szCs w:val="24"/>
        </w:rPr>
        <w:t>)</w:t>
      </w:r>
      <w:r w:rsidR="00411E05" w:rsidRPr="007B410E">
        <w:rPr>
          <w:rStyle w:val="Accentuation"/>
          <w:i w:val="0"/>
          <w:iCs/>
          <w:szCs w:val="24"/>
        </w:rPr>
        <w:t>.</w:t>
      </w:r>
    </w:p>
    <w:p w14:paraId="1607DAAE" w14:textId="77777777" w:rsidR="00F11089" w:rsidRPr="007B410E" w:rsidRDefault="00F11089" w:rsidP="00F11089">
      <w:pPr>
        <w:pStyle w:val="Blockquote"/>
        <w:spacing w:before="0" w:after="0"/>
        <w:ind w:left="0" w:right="4"/>
        <w:jc w:val="both"/>
        <w:rPr>
          <w:rStyle w:val="Accentuation"/>
          <w:i w:val="0"/>
          <w:iCs/>
          <w:szCs w:val="24"/>
        </w:rPr>
      </w:pPr>
    </w:p>
    <w:p w14:paraId="652F0754" w14:textId="77777777" w:rsidR="007E6B0E" w:rsidRPr="007B410E" w:rsidRDefault="00577575" w:rsidP="00724B98">
      <w:pPr>
        <w:pStyle w:val="Blockquote"/>
        <w:spacing w:after="0"/>
        <w:ind w:left="0" w:right="4"/>
        <w:jc w:val="both"/>
        <w:rPr>
          <w:rStyle w:val="Accentuation"/>
          <w:i w:val="0"/>
          <w:iCs/>
          <w:szCs w:val="24"/>
        </w:rPr>
      </w:pPr>
      <w:r w:rsidRPr="007B410E">
        <w:rPr>
          <w:rStyle w:val="Accentuation"/>
          <w:i w:val="0"/>
          <w:iCs/>
          <w:szCs w:val="24"/>
        </w:rPr>
        <w:t>La Zone d’Influence du Projet (ZIP) couvre</w:t>
      </w:r>
      <w:r w:rsidR="007E6B0E" w:rsidRPr="007B410E">
        <w:rPr>
          <w:rStyle w:val="Accentuation"/>
          <w:i w:val="0"/>
          <w:iCs/>
          <w:szCs w:val="24"/>
        </w:rPr>
        <w:t> :</w:t>
      </w:r>
    </w:p>
    <w:p w14:paraId="12D047AF" w14:textId="1C960E44" w:rsidR="007E6B0E" w:rsidRPr="007B410E" w:rsidRDefault="00411E05" w:rsidP="007E6B0E">
      <w:pPr>
        <w:pStyle w:val="Blockquote"/>
        <w:numPr>
          <w:ilvl w:val="0"/>
          <w:numId w:val="22"/>
        </w:numPr>
        <w:spacing w:after="0"/>
        <w:ind w:right="4"/>
        <w:jc w:val="both"/>
        <w:rPr>
          <w:rStyle w:val="Accentuation"/>
          <w:i w:val="0"/>
          <w:iCs/>
          <w:szCs w:val="24"/>
        </w:rPr>
      </w:pPr>
      <w:proofErr w:type="gramStart"/>
      <w:r w:rsidRPr="007B410E">
        <w:rPr>
          <w:rStyle w:val="Accentuation"/>
          <w:i w:val="0"/>
          <w:iCs/>
          <w:szCs w:val="24"/>
        </w:rPr>
        <w:t>la</w:t>
      </w:r>
      <w:proofErr w:type="gramEnd"/>
      <w:r w:rsidRPr="007B410E">
        <w:rPr>
          <w:rStyle w:val="Accentuation"/>
          <w:i w:val="0"/>
          <w:iCs/>
          <w:szCs w:val="24"/>
        </w:rPr>
        <w:t xml:space="preserve"> préfecture de la </w:t>
      </w:r>
      <w:proofErr w:type="spellStart"/>
      <w:r w:rsidRPr="007B410E">
        <w:rPr>
          <w:rStyle w:val="Accentuation"/>
          <w:i w:val="0"/>
          <w:iCs/>
          <w:szCs w:val="24"/>
        </w:rPr>
        <w:t>Kozah</w:t>
      </w:r>
      <w:proofErr w:type="spellEnd"/>
      <w:r w:rsidRPr="007B410E">
        <w:rPr>
          <w:rStyle w:val="Accentuation"/>
          <w:i w:val="0"/>
          <w:iCs/>
          <w:szCs w:val="24"/>
        </w:rPr>
        <w:t xml:space="preserve"> pour la centrale solaire photovoltaïque </w:t>
      </w:r>
      <w:r w:rsidR="007E6B0E" w:rsidRPr="007B410E">
        <w:rPr>
          <w:rStyle w:val="Accentuation"/>
          <w:i w:val="0"/>
          <w:iCs/>
          <w:szCs w:val="24"/>
        </w:rPr>
        <w:t>avec</w:t>
      </w:r>
      <w:r w:rsidRPr="007B410E">
        <w:rPr>
          <w:rStyle w:val="Accentuation"/>
          <w:i w:val="0"/>
          <w:iCs/>
          <w:szCs w:val="24"/>
        </w:rPr>
        <w:t xml:space="preserve"> ses ouvrages d’évacuation</w:t>
      </w:r>
      <w:r w:rsidR="007E6B0E" w:rsidRPr="007B410E">
        <w:rPr>
          <w:rStyle w:val="Accentuation"/>
          <w:i w:val="0"/>
          <w:iCs/>
          <w:szCs w:val="24"/>
        </w:rPr>
        <w:t xml:space="preserve">, les travaux connexes pour la composante sociale du projet et du suivi de la mise en œuvre du PGES, </w:t>
      </w:r>
    </w:p>
    <w:p w14:paraId="64794680" w14:textId="0837BC49" w:rsidR="00BA7E37" w:rsidRPr="007B410E" w:rsidRDefault="00411E05" w:rsidP="003C3B67">
      <w:pPr>
        <w:pStyle w:val="Blockquote"/>
        <w:numPr>
          <w:ilvl w:val="0"/>
          <w:numId w:val="22"/>
        </w:numPr>
        <w:spacing w:after="0"/>
        <w:ind w:right="4"/>
        <w:jc w:val="both"/>
        <w:rPr>
          <w:rStyle w:val="Accentuation"/>
          <w:i w:val="0"/>
          <w:iCs/>
          <w:szCs w:val="24"/>
        </w:rPr>
      </w:pPr>
      <w:proofErr w:type="gramStart"/>
      <w:r w:rsidRPr="007B410E">
        <w:rPr>
          <w:rStyle w:val="Accentuation"/>
          <w:i w:val="0"/>
          <w:iCs/>
          <w:szCs w:val="24"/>
        </w:rPr>
        <w:t>la</w:t>
      </w:r>
      <w:proofErr w:type="gramEnd"/>
      <w:r w:rsidRPr="007B410E">
        <w:rPr>
          <w:rStyle w:val="Accentuation"/>
          <w:i w:val="0"/>
          <w:iCs/>
          <w:szCs w:val="24"/>
        </w:rPr>
        <w:t xml:space="preserve"> préfecture d’Agoe-</w:t>
      </w:r>
      <w:proofErr w:type="spellStart"/>
      <w:r w:rsidRPr="007B410E">
        <w:rPr>
          <w:rStyle w:val="Accentuation"/>
          <w:i w:val="0"/>
          <w:iCs/>
          <w:szCs w:val="24"/>
        </w:rPr>
        <w:t>Ny</w:t>
      </w:r>
      <w:r w:rsidR="00796793" w:rsidRPr="007B410E">
        <w:rPr>
          <w:rStyle w:val="Accentuation"/>
          <w:i w:val="0"/>
          <w:iCs/>
          <w:szCs w:val="24"/>
        </w:rPr>
        <w:t>i</w:t>
      </w:r>
      <w:r w:rsidRPr="007B410E">
        <w:rPr>
          <w:rStyle w:val="Accentuation"/>
          <w:i w:val="0"/>
          <w:iCs/>
          <w:szCs w:val="24"/>
        </w:rPr>
        <w:t>ve</w:t>
      </w:r>
      <w:proofErr w:type="spellEnd"/>
      <w:r w:rsidRPr="007B410E">
        <w:rPr>
          <w:rStyle w:val="Accentuation"/>
          <w:i w:val="0"/>
          <w:iCs/>
          <w:szCs w:val="24"/>
        </w:rPr>
        <w:t xml:space="preserve"> pour le bâtiment administratif de l’AT2ER.</w:t>
      </w:r>
    </w:p>
    <w:p w14:paraId="75232F9E" w14:textId="43149371" w:rsidR="00747716" w:rsidRPr="007B410E" w:rsidRDefault="00BA7E37" w:rsidP="00724B98">
      <w:pPr>
        <w:pStyle w:val="Blockquote"/>
        <w:ind w:left="0" w:right="4"/>
        <w:jc w:val="both"/>
        <w:rPr>
          <w:rStyle w:val="Accentuation"/>
          <w:i w:val="0"/>
          <w:iCs/>
          <w:szCs w:val="24"/>
        </w:rPr>
      </w:pPr>
      <w:r w:rsidRPr="007B410E">
        <w:rPr>
          <w:rStyle w:val="Accentuation"/>
          <w:i w:val="0"/>
          <w:iCs/>
          <w:szCs w:val="24"/>
        </w:rPr>
        <w:t>De manière spécifique</w:t>
      </w:r>
      <w:r w:rsidR="00551846" w:rsidRPr="007B410E">
        <w:rPr>
          <w:rStyle w:val="Accentuation"/>
          <w:i w:val="0"/>
          <w:iCs/>
          <w:szCs w:val="24"/>
        </w:rPr>
        <w:t>,</w:t>
      </w:r>
      <w:r w:rsidRPr="007B410E">
        <w:rPr>
          <w:rStyle w:val="Accentuation"/>
          <w:i w:val="0"/>
          <w:iCs/>
          <w:szCs w:val="24"/>
        </w:rPr>
        <w:t xml:space="preserve"> le consultant devra assurer les prestations suivantes :</w:t>
      </w:r>
    </w:p>
    <w:p w14:paraId="634E30AC" w14:textId="77777777" w:rsidR="00747716" w:rsidRPr="007B410E" w:rsidRDefault="00747716" w:rsidP="00747716">
      <w:pPr>
        <w:pStyle w:val="Blockquote"/>
        <w:spacing w:before="0" w:after="0"/>
        <w:ind w:left="0" w:right="4"/>
        <w:jc w:val="both"/>
        <w:rPr>
          <w:rStyle w:val="Accentuation"/>
          <w:i w:val="0"/>
          <w:iCs/>
          <w:szCs w:val="24"/>
        </w:rPr>
      </w:pPr>
    </w:p>
    <w:p w14:paraId="14DDF4E0" w14:textId="427681DA" w:rsidR="00747716" w:rsidRPr="007B410E" w:rsidRDefault="00747716" w:rsidP="003C3B67">
      <w:pPr>
        <w:pStyle w:val="Blockquote"/>
        <w:numPr>
          <w:ilvl w:val="0"/>
          <w:numId w:val="30"/>
        </w:numPr>
        <w:spacing w:before="0" w:after="0" w:line="276" w:lineRule="auto"/>
        <w:ind w:right="4"/>
        <w:jc w:val="both"/>
        <w:rPr>
          <w:rStyle w:val="Accentuation"/>
          <w:i w:val="0"/>
          <w:iCs/>
          <w:szCs w:val="24"/>
        </w:rPr>
      </w:pPr>
      <w:proofErr w:type="gramStart"/>
      <w:r w:rsidRPr="007B410E">
        <w:rPr>
          <w:rStyle w:val="Accentuation"/>
          <w:i w:val="0"/>
          <w:iCs/>
          <w:szCs w:val="24"/>
        </w:rPr>
        <w:t>collecter</w:t>
      </w:r>
      <w:proofErr w:type="gramEnd"/>
      <w:r w:rsidRPr="007B410E">
        <w:rPr>
          <w:rStyle w:val="Accentuation"/>
          <w:i w:val="0"/>
          <w:iCs/>
          <w:szCs w:val="24"/>
        </w:rPr>
        <w:t>, vérifier et analyser les indicateurs du cadre logique,</w:t>
      </w:r>
    </w:p>
    <w:p w14:paraId="00412FA5" w14:textId="5B4BED9D" w:rsidR="00747716" w:rsidRPr="007B410E" w:rsidRDefault="00747716" w:rsidP="003C3B67">
      <w:pPr>
        <w:pStyle w:val="Blockquote"/>
        <w:numPr>
          <w:ilvl w:val="0"/>
          <w:numId w:val="30"/>
        </w:numPr>
        <w:spacing w:before="0" w:after="0" w:line="276" w:lineRule="auto"/>
        <w:ind w:right="4"/>
        <w:jc w:val="both"/>
        <w:rPr>
          <w:iCs/>
          <w:szCs w:val="24"/>
        </w:rPr>
      </w:pPr>
      <w:proofErr w:type="gramStart"/>
      <w:r w:rsidRPr="007B410E">
        <w:rPr>
          <w:szCs w:val="24"/>
        </w:rPr>
        <w:t>évaluer</w:t>
      </w:r>
      <w:proofErr w:type="gramEnd"/>
      <w:r w:rsidRPr="007B410E">
        <w:rPr>
          <w:szCs w:val="24"/>
        </w:rPr>
        <w:t xml:space="preserve"> annuellement les performances DO et IP à travers les barèmes BOAD,</w:t>
      </w:r>
    </w:p>
    <w:p w14:paraId="5380F4D9" w14:textId="726C8CEE" w:rsidR="00747716" w:rsidRPr="007B410E" w:rsidRDefault="00747716" w:rsidP="003C3B67">
      <w:pPr>
        <w:pStyle w:val="Blockquote"/>
        <w:numPr>
          <w:ilvl w:val="0"/>
          <w:numId w:val="30"/>
        </w:numPr>
        <w:spacing w:before="0" w:after="0" w:line="276" w:lineRule="auto"/>
        <w:ind w:right="4"/>
        <w:jc w:val="both"/>
        <w:rPr>
          <w:iCs/>
          <w:szCs w:val="24"/>
        </w:rPr>
      </w:pPr>
      <w:proofErr w:type="gramStart"/>
      <w:r w:rsidRPr="007B410E">
        <w:rPr>
          <w:szCs w:val="24"/>
        </w:rPr>
        <w:t>produire</w:t>
      </w:r>
      <w:proofErr w:type="gramEnd"/>
      <w:r w:rsidRPr="007B410E">
        <w:rPr>
          <w:szCs w:val="24"/>
        </w:rPr>
        <w:t xml:space="preserve"> les matrices EERD avec justifications et recommandations, </w:t>
      </w:r>
    </w:p>
    <w:p w14:paraId="6283CAEF" w14:textId="18F0EDFD" w:rsidR="00747716" w:rsidRPr="007B410E" w:rsidRDefault="00747716" w:rsidP="003C3B67">
      <w:pPr>
        <w:pStyle w:val="Blockquote"/>
        <w:numPr>
          <w:ilvl w:val="0"/>
          <w:numId w:val="30"/>
        </w:numPr>
        <w:spacing w:before="0" w:after="0" w:line="276" w:lineRule="auto"/>
        <w:ind w:right="4"/>
        <w:jc w:val="both"/>
        <w:rPr>
          <w:iCs/>
          <w:szCs w:val="24"/>
        </w:rPr>
      </w:pPr>
      <w:proofErr w:type="gramStart"/>
      <w:r w:rsidRPr="007B410E">
        <w:rPr>
          <w:szCs w:val="24"/>
        </w:rPr>
        <w:t>conduire</w:t>
      </w:r>
      <w:proofErr w:type="gramEnd"/>
      <w:r w:rsidRPr="007B410E">
        <w:rPr>
          <w:szCs w:val="24"/>
        </w:rPr>
        <w:t xml:space="preserve"> une évaluation d’impact rapide en cours de projet, </w:t>
      </w:r>
    </w:p>
    <w:p w14:paraId="41B6D363" w14:textId="3AC93715" w:rsidR="00747716" w:rsidRPr="007B410E" w:rsidRDefault="00747716" w:rsidP="003C3B67">
      <w:pPr>
        <w:pStyle w:val="Blockquote"/>
        <w:numPr>
          <w:ilvl w:val="0"/>
          <w:numId w:val="30"/>
        </w:numPr>
        <w:spacing w:before="0" w:after="0" w:line="276" w:lineRule="auto"/>
        <w:ind w:right="4"/>
        <w:jc w:val="both"/>
        <w:rPr>
          <w:iCs/>
          <w:szCs w:val="24"/>
        </w:rPr>
      </w:pPr>
      <w:proofErr w:type="gramStart"/>
      <w:r w:rsidRPr="007B410E">
        <w:rPr>
          <w:szCs w:val="24"/>
        </w:rPr>
        <w:t>assurer</w:t>
      </w:r>
      <w:proofErr w:type="gramEnd"/>
      <w:r w:rsidRPr="007B410E">
        <w:rPr>
          <w:szCs w:val="24"/>
        </w:rPr>
        <w:t xml:space="preserve"> le suivi à un (01) an post-clôture, incluant l’évaluation rétrospective,</w:t>
      </w:r>
    </w:p>
    <w:p w14:paraId="0412F953" w14:textId="1D7CEF5D" w:rsidR="00747716" w:rsidRPr="007B410E" w:rsidRDefault="00747716" w:rsidP="003C3B67">
      <w:pPr>
        <w:pStyle w:val="Blockquote"/>
        <w:numPr>
          <w:ilvl w:val="0"/>
          <w:numId w:val="30"/>
        </w:numPr>
        <w:spacing w:before="0" w:after="0" w:line="276" w:lineRule="auto"/>
        <w:ind w:right="4"/>
        <w:jc w:val="both"/>
        <w:rPr>
          <w:rStyle w:val="Accentuation"/>
          <w:i w:val="0"/>
          <w:iCs/>
          <w:szCs w:val="24"/>
        </w:rPr>
      </w:pPr>
      <w:proofErr w:type="gramStart"/>
      <w:r w:rsidRPr="007B410E">
        <w:rPr>
          <w:szCs w:val="24"/>
        </w:rPr>
        <w:t>capitaliser</w:t>
      </w:r>
      <w:proofErr w:type="gramEnd"/>
      <w:r w:rsidRPr="007B410E">
        <w:rPr>
          <w:szCs w:val="24"/>
        </w:rPr>
        <w:t xml:space="preserve"> les apprentissages et produire une fiche de leçons apprises.</w:t>
      </w:r>
    </w:p>
    <w:p w14:paraId="1369DA29" w14:textId="77777777" w:rsidR="00747716" w:rsidRPr="007B410E" w:rsidRDefault="00747716" w:rsidP="003C3B67">
      <w:pPr>
        <w:pStyle w:val="Blockquote"/>
        <w:spacing w:before="0" w:after="0"/>
        <w:ind w:left="0" w:right="4"/>
        <w:jc w:val="both"/>
        <w:rPr>
          <w:rStyle w:val="Accentuation"/>
          <w:i w:val="0"/>
          <w:iCs/>
          <w:szCs w:val="24"/>
        </w:rPr>
      </w:pPr>
    </w:p>
    <w:p w14:paraId="220C977F" w14:textId="77777777" w:rsidR="00747716" w:rsidRDefault="00747716" w:rsidP="003C3B67">
      <w:pPr>
        <w:pStyle w:val="Blockquote"/>
        <w:spacing w:before="0" w:after="0"/>
        <w:ind w:right="4"/>
        <w:jc w:val="both"/>
        <w:rPr>
          <w:rStyle w:val="Accentuation"/>
          <w:i w:val="0"/>
          <w:iCs/>
          <w:szCs w:val="24"/>
        </w:rPr>
      </w:pPr>
    </w:p>
    <w:p w14:paraId="7A7D0851" w14:textId="77777777" w:rsidR="00EB1AE7" w:rsidRPr="007B410E" w:rsidRDefault="00EB1AE7" w:rsidP="003C3B67">
      <w:pPr>
        <w:pStyle w:val="Blockquote"/>
        <w:spacing w:before="0" w:after="0"/>
        <w:ind w:right="4"/>
        <w:jc w:val="both"/>
        <w:rPr>
          <w:rStyle w:val="Accentuation"/>
          <w:i w:val="0"/>
          <w:iCs/>
          <w:szCs w:val="24"/>
        </w:rPr>
      </w:pPr>
    </w:p>
    <w:p w14:paraId="0C721939" w14:textId="77777777" w:rsidR="00BA7E37" w:rsidRPr="007B410E" w:rsidRDefault="00BA7E37" w:rsidP="00F24FE8">
      <w:pPr>
        <w:pStyle w:val="Blockquote"/>
        <w:spacing w:before="0" w:after="0"/>
        <w:ind w:left="0" w:right="4"/>
        <w:jc w:val="both"/>
        <w:rPr>
          <w:rStyle w:val="Accentuation"/>
          <w:i w:val="0"/>
          <w:iCs/>
          <w:szCs w:val="24"/>
        </w:rPr>
      </w:pPr>
    </w:p>
    <w:bookmarkEnd w:id="5"/>
    <w:p w14:paraId="6C1BFD48" w14:textId="7497B74E" w:rsidR="0044022A" w:rsidRPr="007B410E" w:rsidRDefault="0044022A" w:rsidP="00724B98">
      <w:pPr>
        <w:pStyle w:val="Blockquote"/>
        <w:spacing w:before="0" w:after="0"/>
        <w:ind w:left="0" w:right="0"/>
        <w:jc w:val="both"/>
        <w:rPr>
          <w:szCs w:val="24"/>
        </w:rPr>
      </w:pPr>
      <w:r w:rsidRPr="007B410E">
        <w:rPr>
          <w:rStyle w:val="lev"/>
          <w:szCs w:val="24"/>
        </w:rPr>
        <w:lastRenderedPageBreak/>
        <w:t xml:space="preserve">3. Nombre et intitulé des lots </w:t>
      </w:r>
    </w:p>
    <w:p w14:paraId="4852AF9E" w14:textId="62EFC4D1" w:rsidR="0044022A" w:rsidRPr="007B410E" w:rsidRDefault="00A8148B" w:rsidP="00506FA4">
      <w:pPr>
        <w:pStyle w:val="Blockquote"/>
        <w:spacing w:after="0"/>
        <w:ind w:left="0" w:right="0"/>
        <w:jc w:val="both"/>
        <w:rPr>
          <w:rStyle w:val="Accentuation"/>
          <w:b/>
          <w:bCs/>
          <w:i w:val="0"/>
          <w:iCs/>
          <w:szCs w:val="24"/>
        </w:rPr>
      </w:pPr>
      <w:r w:rsidRPr="007B410E">
        <w:rPr>
          <w:rStyle w:val="Accentuation"/>
          <w:i w:val="0"/>
          <w:iCs/>
          <w:szCs w:val="24"/>
        </w:rPr>
        <w:t>Le</w:t>
      </w:r>
      <w:r w:rsidR="00BE3686" w:rsidRPr="007B410E">
        <w:rPr>
          <w:rStyle w:val="Accentuation"/>
          <w:i w:val="0"/>
          <w:iCs/>
          <w:szCs w:val="24"/>
        </w:rPr>
        <w:t xml:space="preserve"> marché est en </w:t>
      </w:r>
      <w:r w:rsidR="00BE3686" w:rsidRPr="007B410E">
        <w:rPr>
          <w:rStyle w:val="Accentuation"/>
          <w:b/>
          <w:bCs/>
          <w:i w:val="0"/>
          <w:iCs/>
          <w:szCs w:val="24"/>
        </w:rPr>
        <w:t>l</w:t>
      </w:r>
      <w:r w:rsidR="007558F8" w:rsidRPr="007B410E">
        <w:rPr>
          <w:rStyle w:val="Accentuation"/>
          <w:b/>
          <w:bCs/>
          <w:i w:val="0"/>
          <w:iCs/>
          <w:szCs w:val="24"/>
        </w:rPr>
        <w:t>ot unique</w:t>
      </w:r>
      <w:r w:rsidR="00BE3686" w:rsidRPr="007B410E">
        <w:rPr>
          <w:rStyle w:val="Accentuation"/>
          <w:b/>
          <w:bCs/>
          <w:i w:val="0"/>
          <w:iCs/>
          <w:szCs w:val="24"/>
        </w:rPr>
        <w:t xml:space="preserve"> (01 lot)</w:t>
      </w:r>
      <w:r w:rsidR="007558F8" w:rsidRPr="007B410E">
        <w:rPr>
          <w:rStyle w:val="Accentuation"/>
          <w:b/>
          <w:bCs/>
          <w:i w:val="0"/>
          <w:iCs/>
          <w:szCs w:val="24"/>
        </w:rPr>
        <w:t>.</w:t>
      </w:r>
    </w:p>
    <w:p w14:paraId="4E7F13AC" w14:textId="77777777" w:rsidR="00506FA4" w:rsidRPr="007B410E" w:rsidRDefault="00506FA4" w:rsidP="00724B98">
      <w:pPr>
        <w:pStyle w:val="Blockquote"/>
        <w:spacing w:before="0" w:after="0"/>
        <w:ind w:left="0" w:right="0"/>
        <w:jc w:val="both"/>
        <w:rPr>
          <w:i/>
          <w:iCs/>
          <w:szCs w:val="24"/>
        </w:rPr>
      </w:pPr>
    </w:p>
    <w:p w14:paraId="4A7A7133" w14:textId="3059C293" w:rsidR="0044022A" w:rsidRPr="007B410E" w:rsidRDefault="0044022A" w:rsidP="00F24FE8">
      <w:pPr>
        <w:spacing w:before="0" w:after="0"/>
        <w:rPr>
          <w:szCs w:val="24"/>
        </w:rPr>
      </w:pPr>
      <w:r w:rsidRPr="007B410E">
        <w:rPr>
          <w:rStyle w:val="lev"/>
          <w:szCs w:val="24"/>
        </w:rPr>
        <w:t xml:space="preserve">4. Budget maximal </w:t>
      </w:r>
    </w:p>
    <w:p w14:paraId="51940C4D" w14:textId="1C0E1B91" w:rsidR="00A815F7" w:rsidRPr="007B410E" w:rsidRDefault="00577575" w:rsidP="00724B98">
      <w:pPr>
        <w:pStyle w:val="Blockquote"/>
        <w:spacing w:after="0"/>
        <w:ind w:left="0" w:right="0"/>
        <w:jc w:val="both"/>
        <w:rPr>
          <w:rStyle w:val="Accentuation"/>
          <w:i w:val="0"/>
          <w:szCs w:val="24"/>
        </w:rPr>
      </w:pPr>
      <w:r w:rsidRPr="007B410E">
        <w:rPr>
          <w:rStyle w:val="Accentuation"/>
          <w:i w:val="0"/>
          <w:szCs w:val="24"/>
        </w:rPr>
        <w:t xml:space="preserve">Le budget maximal alloué à cette prestation est de : </w:t>
      </w:r>
      <w:r w:rsidR="00CF724A" w:rsidRPr="007B410E">
        <w:rPr>
          <w:rStyle w:val="Accentuation"/>
          <w:b/>
          <w:bCs/>
          <w:i w:val="0"/>
          <w:szCs w:val="24"/>
        </w:rPr>
        <w:t>cent</w:t>
      </w:r>
      <w:r w:rsidR="00A8148B" w:rsidRPr="007B410E">
        <w:rPr>
          <w:rStyle w:val="Accentuation"/>
          <w:b/>
          <w:bCs/>
          <w:i w:val="0"/>
          <w:szCs w:val="24"/>
        </w:rPr>
        <w:t xml:space="preserve"> </w:t>
      </w:r>
      <w:r w:rsidR="00F37D6B" w:rsidRPr="007B410E">
        <w:rPr>
          <w:rStyle w:val="Accentuation"/>
          <w:b/>
          <w:bCs/>
          <w:i w:val="0"/>
          <w:szCs w:val="24"/>
        </w:rPr>
        <w:t>millions (</w:t>
      </w:r>
      <w:r w:rsidR="004F2518" w:rsidRPr="007B410E">
        <w:rPr>
          <w:rStyle w:val="Accentuation"/>
          <w:b/>
          <w:bCs/>
          <w:i w:val="0"/>
          <w:szCs w:val="24"/>
        </w:rPr>
        <w:t>100 </w:t>
      </w:r>
      <w:r w:rsidR="00F37D6B" w:rsidRPr="007B410E">
        <w:rPr>
          <w:rStyle w:val="Accentuation"/>
          <w:b/>
          <w:bCs/>
          <w:i w:val="0"/>
          <w:szCs w:val="24"/>
        </w:rPr>
        <w:t>000 000) de francs CFA</w:t>
      </w:r>
      <w:r w:rsidR="00EA47BE" w:rsidRPr="007B410E">
        <w:rPr>
          <w:rStyle w:val="Accentuation"/>
          <w:b/>
          <w:bCs/>
          <w:i w:val="0"/>
          <w:szCs w:val="24"/>
        </w:rPr>
        <w:t xml:space="preserve"> HT</w:t>
      </w:r>
      <w:r w:rsidR="00F37D6B" w:rsidRPr="007B410E">
        <w:rPr>
          <w:rStyle w:val="Accentuation"/>
          <w:i w:val="0"/>
          <w:szCs w:val="24"/>
        </w:rPr>
        <w:t>.</w:t>
      </w:r>
    </w:p>
    <w:p w14:paraId="5BC5AEDC" w14:textId="77777777" w:rsidR="00506FA4" w:rsidRPr="007B410E" w:rsidRDefault="00506FA4" w:rsidP="003234BE">
      <w:pPr>
        <w:pStyle w:val="Blockquote"/>
        <w:spacing w:before="0" w:after="0"/>
        <w:ind w:left="0" w:right="0"/>
        <w:jc w:val="both"/>
        <w:rPr>
          <w:rStyle w:val="lev"/>
          <w:szCs w:val="24"/>
        </w:rPr>
      </w:pPr>
    </w:p>
    <w:p w14:paraId="60B37F12" w14:textId="5B3D1679" w:rsidR="0044022A" w:rsidRPr="007B410E" w:rsidRDefault="0044022A" w:rsidP="00724B98">
      <w:pPr>
        <w:pStyle w:val="Titre2"/>
        <w:spacing w:before="0" w:after="0"/>
        <w:rPr>
          <w:rStyle w:val="lev"/>
          <w:rFonts w:ascii="Times New Roman" w:hAnsi="Times New Roman" w:cs="Times New Roman"/>
          <w:szCs w:val="24"/>
        </w:rPr>
      </w:pPr>
      <w:r w:rsidRPr="007B410E">
        <w:rPr>
          <w:rStyle w:val="lev"/>
          <w:rFonts w:ascii="Times New Roman" w:hAnsi="Times New Roman" w:cs="Times New Roman"/>
          <w:szCs w:val="24"/>
        </w:rPr>
        <w:t>CONDITIONS DE PARTICIPATION</w:t>
      </w:r>
    </w:p>
    <w:p w14:paraId="611EC81A" w14:textId="77777777" w:rsidR="0044022A" w:rsidRPr="007B410E" w:rsidRDefault="0044022A">
      <w:pPr>
        <w:spacing w:before="0" w:after="0"/>
        <w:rPr>
          <w:szCs w:val="24"/>
        </w:rPr>
      </w:pPr>
    </w:p>
    <w:p w14:paraId="74EF833B" w14:textId="77777777" w:rsidR="0044022A" w:rsidRPr="007B410E" w:rsidRDefault="0044022A">
      <w:pPr>
        <w:spacing w:before="0" w:after="0"/>
        <w:rPr>
          <w:rStyle w:val="lev"/>
          <w:szCs w:val="24"/>
        </w:rPr>
      </w:pPr>
      <w:r w:rsidRPr="007B410E">
        <w:rPr>
          <w:rStyle w:val="lev"/>
          <w:szCs w:val="24"/>
        </w:rPr>
        <w:t xml:space="preserve">5. </w:t>
      </w:r>
      <w:r w:rsidR="00242201" w:rsidRPr="007B410E">
        <w:rPr>
          <w:rStyle w:val="lev"/>
          <w:szCs w:val="24"/>
        </w:rPr>
        <w:t>Éligibilité</w:t>
      </w:r>
    </w:p>
    <w:p w14:paraId="4BE9565C" w14:textId="12517786" w:rsidR="00F37D6B" w:rsidRPr="007B410E" w:rsidRDefault="00B65D8E" w:rsidP="003A5BA6">
      <w:pPr>
        <w:jc w:val="both"/>
        <w:rPr>
          <w:szCs w:val="24"/>
        </w:rPr>
      </w:pPr>
      <w:r w:rsidRPr="007B410E">
        <w:rPr>
          <w:szCs w:val="24"/>
        </w:rPr>
        <w:t>La participation au marché est ouverte aux personnes morales (participant soit individuellement, soit dans un groupement - consortium – de soumissionnaires)</w:t>
      </w:r>
      <w:r w:rsidR="00F37D6B" w:rsidRPr="007B410E">
        <w:rPr>
          <w:szCs w:val="24"/>
        </w:rPr>
        <w:t xml:space="preserve"> éligibles conformément </w:t>
      </w:r>
      <w:bookmarkStart w:id="6" w:name="_Hlk123709919"/>
      <w:r w:rsidR="00F37D6B" w:rsidRPr="007B410E">
        <w:rPr>
          <w:szCs w:val="24"/>
        </w:rPr>
        <w:t>au point 2.2.2 du Guide des Procédures de passation de marchés et règles d'attribution des contrats financés par la Banque ouest africaine de développement, disponible à l’adresse</w:t>
      </w:r>
      <w:r w:rsidR="00F37D6B" w:rsidRPr="007B410E">
        <w:rPr>
          <w:color w:val="000000"/>
          <w:szCs w:val="24"/>
        </w:rPr>
        <w:t xml:space="preserve"> </w:t>
      </w:r>
      <w:hyperlink r:id="rId11" w:history="1">
        <w:r w:rsidR="00AC7C0F" w:rsidRPr="007B410E">
          <w:rPr>
            <w:rStyle w:val="Lienhypertexte"/>
            <w:szCs w:val="24"/>
          </w:rPr>
          <w:t>www.boad.org/</w:t>
        </w:r>
        <w:r w:rsidR="00AC7C0F" w:rsidRPr="00AC7C0F">
          <w:rPr>
            <w:rStyle w:val="Lienhypertexte"/>
            <w:szCs w:val="24"/>
          </w:rPr>
          <w:t>fr/</w:t>
        </w:r>
        <w:r w:rsidR="00AC7C0F" w:rsidRPr="00903FAD">
          <w:rPr>
            <w:rStyle w:val="Lienhypertexte"/>
            <w:szCs w:val="24"/>
          </w:rPr>
          <w:t>opportunites/documentation-passation-de-marches/</w:t>
        </w:r>
      </w:hyperlink>
      <w:r w:rsidR="00AE3A35" w:rsidRPr="007B410E">
        <w:rPr>
          <w:color w:val="000000"/>
          <w:szCs w:val="24"/>
        </w:rPr>
        <w:t>.</w:t>
      </w:r>
      <w:bookmarkEnd w:id="6"/>
    </w:p>
    <w:p w14:paraId="130EE3D3" w14:textId="77777777" w:rsidR="00B65D8E" w:rsidRPr="007B410E" w:rsidRDefault="00B65D8E" w:rsidP="003A5BA6">
      <w:pPr>
        <w:pStyle w:val="Blockquote"/>
        <w:spacing w:before="0" w:after="0"/>
        <w:ind w:left="0" w:right="0"/>
        <w:jc w:val="both"/>
        <w:rPr>
          <w:szCs w:val="24"/>
        </w:rPr>
      </w:pPr>
      <w:r w:rsidRPr="007B410E">
        <w:rPr>
          <w:szCs w:val="24"/>
        </w:rPr>
        <w:t xml:space="preserve">La participation d'une entité inéligible entraînera l'élimination automatique de l'offre concernée. </w:t>
      </w:r>
    </w:p>
    <w:p w14:paraId="3D46CE39" w14:textId="77777777" w:rsidR="0044022A" w:rsidRPr="007B410E" w:rsidRDefault="0044022A" w:rsidP="00F24FE8">
      <w:pPr>
        <w:spacing w:before="0" w:after="0"/>
        <w:jc w:val="both"/>
        <w:rPr>
          <w:szCs w:val="24"/>
        </w:rPr>
      </w:pPr>
    </w:p>
    <w:p w14:paraId="60623FDD" w14:textId="77777777" w:rsidR="0044022A" w:rsidRPr="007B410E" w:rsidRDefault="0044022A" w:rsidP="00F24FE8">
      <w:pPr>
        <w:spacing w:before="0" w:after="0"/>
        <w:jc w:val="both"/>
        <w:rPr>
          <w:rStyle w:val="lev"/>
          <w:szCs w:val="24"/>
        </w:rPr>
      </w:pPr>
      <w:r w:rsidRPr="007B410E">
        <w:rPr>
          <w:rStyle w:val="lev"/>
          <w:szCs w:val="24"/>
        </w:rPr>
        <w:t xml:space="preserve">6. Nombre d'offres </w:t>
      </w:r>
    </w:p>
    <w:p w14:paraId="4BCC5B4A" w14:textId="77777777" w:rsidR="00A135FF" w:rsidRPr="007B410E" w:rsidRDefault="00A135FF" w:rsidP="00724B98">
      <w:pPr>
        <w:pStyle w:val="Blockquote"/>
        <w:spacing w:after="0"/>
        <w:ind w:left="0" w:right="0"/>
        <w:jc w:val="both"/>
        <w:rPr>
          <w:szCs w:val="24"/>
        </w:rPr>
      </w:pPr>
      <w:r w:rsidRPr="007B410E">
        <w:rPr>
          <w:szCs w:val="24"/>
        </w:rPr>
        <w:t>Une personne morale ne peut pas soumettre plus d'une offre, quelle que soit la forme de sa participation (soit individuellement, soit dans un groupement - consortium – de soumissionnaires). Dans le cas où une personne physique ou morale soumettrait plus d’une offre, toutes les offres auxquelles cette personne participe seront éliminées.</w:t>
      </w:r>
    </w:p>
    <w:p w14:paraId="26CF86F9" w14:textId="77777777" w:rsidR="0044022A" w:rsidRPr="007B410E" w:rsidRDefault="0044022A" w:rsidP="00F24FE8">
      <w:pPr>
        <w:pStyle w:val="Blockquote"/>
        <w:spacing w:before="0" w:after="0"/>
        <w:ind w:left="0" w:right="0"/>
        <w:jc w:val="both"/>
        <w:rPr>
          <w:szCs w:val="24"/>
        </w:rPr>
      </w:pPr>
    </w:p>
    <w:p w14:paraId="0279CAE3" w14:textId="77777777" w:rsidR="0044022A" w:rsidRPr="007B410E" w:rsidRDefault="0044022A" w:rsidP="00F24FE8">
      <w:pPr>
        <w:spacing w:before="0" w:after="0"/>
        <w:jc w:val="both"/>
        <w:rPr>
          <w:rStyle w:val="lev"/>
          <w:szCs w:val="24"/>
        </w:rPr>
      </w:pPr>
      <w:r w:rsidRPr="007B410E">
        <w:rPr>
          <w:rStyle w:val="lev"/>
          <w:szCs w:val="24"/>
        </w:rPr>
        <w:t>7. Situations d'exclusion</w:t>
      </w:r>
    </w:p>
    <w:p w14:paraId="7DA7721E" w14:textId="762B65B0" w:rsidR="0044022A" w:rsidRPr="007B410E" w:rsidRDefault="0044022A" w:rsidP="00724B98">
      <w:pPr>
        <w:pStyle w:val="Blockquote"/>
        <w:spacing w:after="0"/>
        <w:ind w:left="0" w:right="0"/>
        <w:jc w:val="both"/>
        <w:rPr>
          <w:szCs w:val="24"/>
        </w:rPr>
      </w:pPr>
      <w:r w:rsidRPr="007B410E">
        <w:rPr>
          <w:szCs w:val="24"/>
        </w:rPr>
        <w:t xml:space="preserve">Dans le formulaire de soumission, les soumissionnaires doivent soumettre une déclaration signée, incluse dans le formulaire standard de soumission, selon laquelle ils ne se trouvent dans aucune des situations visées au point 2.2.2 du </w:t>
      </w:r>
      <w:r w:rsidRPr="007B410E">
        <w:rPr>
          <w:i/>
          <w:szCs w:val="24"/>
        </w:rPr>
        <w:t>Guide des Procédures de passation de marché et règles d'attribution des contrats</w:t>
      </w:r>
      <w:r w:rsidR="00A225DA" w:rsidRPr="007B410E">
        <w:rPr>
          <w:i/>
          <w:szCs w:val="24"/>
        </w:rPr>
        <w:t xml:space="preserve"> financés par la Banque ouest africaine de développement</w:t>
      </w:r>
      <w:r w:rsidRPr="007B410E">
        <w:rPr>
          <w:szCs w:val="24"/>
        </w:rPr>
        <w:t>.</w:t>
      </w:r>
    </w:p>
    <w:p w14:paraId="1BD1D7CB" w14:textId="77777777" w:rsidR="0044022A" w:rsidRPr="007B410E" w:rsidRDefault="0044022A">
      <w:pPr>
        <w:pStyle w:val="Blockquote"/>
        <w:spacing w:before="0" w:after="0"/>
        <w:ind w:left="0" w:right="0"/>
        <w:jc w:val="both"/>
        <w:rPr>
          <w:szCs w:val="24"/>
        </w:rPr>
      </w:pPr>
    </w:p>
    <w:p w14:paraId="1199378C" w14:textId="46A4E9AE" w:rsidR="00F37D6B" w:rsidRPr="007B410E" w:rsidRDefault="0044022A" w:rsidP="00577575">
      <w:pPr>
        <w:pStyle w:val="H4"/>
        <w:keepLines/>
        <w:spacing w:before="0" w:after="0"/>
        <w:rPr>
          <w:rStyle w:val="lev"/>
          <w:b/>
          <w:bCs/>
          <w:szCs w:val="24"/>
        </w:rPr>
      </w:pPr>
      <w:r w:rsidRPr="007B410E">
        <w:rPr>
          <w:rStyle w:val="lev"/>
          <w:b/>
          <w:bCs/>
          <w:szCs w:val="24"/>
        </w:rPr>
        <w:t>8</w:t>
      </w:r>
      <w:r w:rsidRPr="007B410E">
        <w:rPr>
          <w:rStyle w:val="lev"/>
          <w:bCs/>
          <w:szCs w:val="24"/>
        </w:rPr>
        <w:t xml:space="preserve">. </w:t>
      </w:r>
      <w:r w:rsidRPr="007B410E">
        <w:rPr>
          <w:rStyle w:val="lev"/>
          <w:b/>
          <w:bCs/>
          <w:szCs w:val="24"/>
        </w:rPr>
        <w:t>Possibilités de sous-traitance</w:t>
      </w:r>
    </w:p>
    <w:p w14:paraId="3DF4BA45" w14:textId="010DE162" w:rsidR="0044022A" w:rsidRPr="007B410E" w:rsidRDefault="00F37D6B" w:rsidP="00724B98">
      <w:pPr>
        <w:pStyle w:val="Blockquote"/>
        <w:keepNext/>
        <w:keepLines/>
        <w:spacing w:after="0"/>
        <w:ind w:left="0" w:right="0"/>
        <w:jc w:val="both"/>
        <w:rPr>
          <w:rStyle w:val="Accentuation"/>
          <w:szCs w:val="24"/>
        </w:rPr>
      </w:pPr>
      <w:r w:rsidRPr="007B410E">
        <w:rPr>
          <w:rStyle w:val="Accentuation"/>
          <w:i w:val="0"/>
          <w:szCs w:val="24"/>
        </w:rPr>
        <w:t>La sous-traitance est autorisée.</w:t>
      </w:r>
      <w:r w:rsidR="00393B51" w:rsidRPr="007B410E">
        <w:rPr>
          <w:rStyle w:val="Accentuation"/>
          <w:i w:val="0"/>
          <w:szCs w:val="24"/>
        </w:rPr>
        <w:t xml:space="preserve"> Le pourcentage maximal du montant du marché qui peut faire l'objet d'une sous-traitance est de trente pourcent (30%).</w:t>
      </w:r>
    </w:p>
    <w:p w14:paraId="709ABCAF" w14:textId="77777777" w:rsidR="0044022A" w:rsidRPr="007B410E" w:rsidRDefault="0044022A">
      <w:pPr>
        <w:pStyle w:val="Blockquote"/>
        <w:spacing w:before="0" w:after="0"/>
        <w:ind w:left="0" w:right="0"/>
        <w:jc w:val="both"/>
        <w:rPr>
          <w:szCs w:val="24"/>
        </w:rPr>
      </w:pPr>
    </w:p>
    <w:p w14:paraId="7B457AAF" w14:textId="77777777" w:rsidR="0044022A" w:rsidRPr="007B410E" w:rsidRDefault="0044022A">
      <w:pPr>
        <w:pStyle w:val="Titre3"/>
        <w:spacing w:before="0" w:after="0"/>
        <w:rPr>
          <w:rFonts w:ascii="Times New Roman" w:hAnsi="Times New Roman" w:cs="Times New Roman"/>
          <w:szCs w:val="24"/>
        </w:rPr>
      </w:pPr>
      <w:r w:rsidRPr="007B410E">
        <w:rPr>
          <w:rFonts w:ascii="Times New Roman" w:hAnsi="Times New Roman" w:cs="Times New Roman"/>
          <w:szCs w:val="24"/>
        </w:rPr>
        <w:t>CALENDRIER PRÉVISIONNEL DES OPÉRATIONS</w:t>
      </w:r>
    </w:p>
    <w:p w14:paraId="3380882E" w14:textId="77777777" w:rsidR="0044022A" w:rsidRPr="007B410E" w:rsidRDefault="0044022A">
      <w:pPr>
        <w:spacing w:before="0" w:after="0"/>
        <w:rPr>
          <w:szCs w:val="24"/>
        </w:rPr>
      </w:pPr>
    </w:p>
    <w:p w14:paraId="64F5293F" w14:textId="77777777" w:rsidR="0044022A" w:rsidRPr="007B410E" w:rsidRDefault="0044022A">
      <w:pPr>
        <w:spacing w:before="0" w:after="0"/>
        <w:rPr>
          <w:rStyle w:val="lev"/>
          <w:szCs w:val="24"/>
        </w:rPr>
      </w:pPr>
      <w:r w:rsidRPr="007B410E">
        <w:rPr>
          <w:rStyle w:val="lev"/>
          <w:szCs w:val="24"/>
        </w:rPr>
        <w:t>9. Date prévue de commencement du marché</w:t>
      </w:r>
    </w:p>
    <w:p w14:paraId="2C3C3C3E" w14:textId="77777777" w:rsidR="0044022A" w:rsidRPr="007B410E" w:rsidRDefault="0044022A">
      <w:pPr>
        <w:spacing w:before="0" w:after="0"/>
        <w:rPr>
          <w:szCs w:val="24"/>
        </w:rPr>
      </w:pPr>
    </w:p>
    <w:p w14:paraId="1DDFCEA6" w14:textId="63E80A91" w:rsidR="0044022A" w:rsidRPr="007B410E" w:rsidRDefault="005138DA">
      <w:pPr>
        <w:pStyle w:val="Blockquote"/>
        <w:spacing w:before="0" w:after="0"/>
        <w:ind w:left="0" w:right="0"/>
        <w:jc w:val="both"/>
        <w:rPr>
          <w:rStyle w:val="Accentuation"/>
          <w:b/>
          <w:bCs/>
          <w:iCs/>
          <w:szCs w:val="24"/>
        </w:rPr>
      </w:pPr>
      <w:r>
        <w:rPr>
          <w:rStyle w:val="Accentuation"/>
          <w:b/>
          <w:bCs/>
          <w:iCs/>
          <w:szCs w:val="24"/>
        </w:rPr>
        <w:t>Juin</w:t>
      </w:r>
      <w:r w:rsidR="00C13C02" w:rsidRPr="007B410E">
        <w:rPr>
          <w:rStyle w:val="Accentuation"/>
          <w:b/>
          <w:bCs/>
          <w:iCs/>
          <w:szCs w:val="24"/>
        </w:rPr>
        <w:t xml:space="preserve"> </w:t>
      </w:r>
      <w:r w:rsidR="00F37D6B" w:rsidRPr="007B410E">
        <w:rPr>
          <w:rStyle w:val="Accentuation"/>
          <w:b/>
          <w:bCs/>
          <w:iCs/>
          <w:szCs w:val="24"/>
        </w:rPr>
        <w:t>202</w:t>
      </w:r>
      <w:r w:rsidR="00D219EB">
        <w:rPr>
          <w:rStyle w:val="Accentuation"/>
          <w:b/>
          <w:bCs/>
          <w:iCs/>
          <w:szCs w:val="24"/>
        </w:rPr>
        <w:t>7</w:t>
      </w:r>
      <w:r w:rsidR="003462F7" w:rsidRPr="007B410E">
        <w:rPr>
          <w:rStyle w:val="Accentuation"/>
          <w:b/>
          <w:bCs/>
          <w:iCs/>
          <w:szCs w:val="24"/>
        </w:rPr>
        <w:t>.</w:t>
      </w:r>
    </w:p>
    <w:p w14:paraId="2E076BA8" w14:textId="77777777" w:rsidR="0044022A" w:rsidRPr="007B410E" w:rsidRDefault="0044022A">
      <w:pPr>
        <w:pStyle w:val="Blockquote"/>
        <w:spacing w:before="0" w:after="0"/>
        <w:ind w:left="0" w:right="0"/>
        <w:jc w:val="both"/>
        <w:rPr>
          <w:szCs w:val="24"/>
        </w:rPr>
      </w:pPr>
    </w:p>
    <w:p w14:paraId="6DB9CC18" w14:textId="77777777" w:rsidR="0044022A" w:rsidRPr="007B410E" w:rsidRDefault="0044022A">
      <w:pPr>
        <w:spacing w:before="0" w:after="0"/>
        <w:rPr>
          <w:rStyle w:val="lev"/>
          <w:szCs w:val="24"/>
        </w:rPr>
      </w:pPr>
      <w:r w:rsidRPr="007B410E">
        <w:rPr>
          <w:rStyle w:val="lev"/>
          <w:szCs w:val="24"/>
        </w:rPr>
        <w:t xml:space="preserve">10. Durée de mise en œuvre du marché </w:t>
      </w:r>
    </w:p>
    <w:p w14:paraId="0BD79A2D" w14:textId="77777777" w:rsidR="0044022A" w:rsidRPr="007B410E" w:rsidRDefault="0044022A">
      <w:pPr>
        <w:spacing w:before="0" w:after="0"/>
        <w:rPr>
          <w:szCs w:val="24"/>
        </w:rPr>
      </w:pPr>
    </w:p>
    <w:p w14:paraId="3124143F" w14:textId="5E46F595" w:rsidR="003A0A72" w:rsidRPr="007B410E" w:rsidRDefault="004F1B8E" w:rsidP="003A0A72">
      <w:pPr>
        <w:pStyle w:val="Blockquote"/>
        <w:spacing w:before="0" w:after="0"/>
        <w:ind w:left="0" w:right="0"/>
        <w:jc w:val="both"/>
        <w:rPr>
          <w:b/>
          <w:bCs/>
          <w:i/>
          <w:iCs/>
          <w:szCs w:val="24"/>
        </w:rPr>
      </w:pPr>
      <w:r w:rsidRPr="007B410E">
        <w:rPr>
          <w:b/>
          <w:bCs/>
          <w:i/>
          <w:iCs/>
          <w:szCs w:val="24"/>
        </w:rPr>
        <w:t>D</w:t>
      </w:r>
      <w:r w:rsidR="00AC26E5" w:rsidRPr="007B410E">
        <w:rPr>
          <w:b/>
          <w:bCs/>
          <w:i/>
          <w:iCs/>
          <w:szCs w:val="24"/>
        </w:rPr>
        <w:t>ouze (12</w:t>
      </w:r>
      <w:r w:rsidR="003A0A72" w:rsidRPr="007B410E">
        <w:rPr>
          <w:b/>
          <w:bCs/>
          <w:i/>
          <w:iCs/>
          <w:szCs w:val="24"/>
        </w:rPr>
        <w:t xml:space="preserve">) </w:t>
      </w:r>
      <w:r w:rsidR="0081523B" w:rsidRPr="007B410E">
        <w:rPr>
          <w:b/>
          <w:bCs/>
          <w:i/>
          <w:iCs/>
          <w:szCs w:val="24"/>
        </w:rPr>
        <w:t>m</w:t>
      </w:r>
      <w:r w:rsidR="003A0A72" w:rsidRPr="007B410E">
        <w:rPr>
          <w:b/>
          <w:bCs/>
          <w:i/>
          <w:iCs/>
          <w:szCs w:val="24"/>
        </w:rPr>
        <w:t>ois échelonnés sur trois (</w:t>
      </w:r>
      <w:r w:rsidR="005C2289" w:rsidRPr="007B410E">
        <w:rPr>
          <w:b/>
          <w:bCs/>
          <w:i/>
          <w:iCs/>
          <w:szCs w:val="24"/>
        </w:rPr>
        <w:t>03</w:t>
      </w:r>
      <w:r w:rsidR="003A0A72" w:rsidRPr="007B410E">
        <w:rPr>
          <w:b/>
          <w:bCs/>
          <w:i/>
          <w:iCs/>
          <w:szCs w:val="24"/>
        </w:rPr>
        <w:t xml:space="preserve">) années. </w:t>
      </w:r>
    </w:p>
    <w:p w14:paraId="5029856F" w14:textId="77777777" w:rsidR="003A0A72" w:rsidRPr="007B410E" w:rsidRDefault="003A0A72" w:rsidP="003A0A72">
      <w:pPr>
        <w:pStyle w:val="Blockquote"/>
        <w:spacing w:before="0" w:after="0"/>
        <w:ind w:left="0" w:right="0"/>
        <w:jc w:val="both"/>
        <w:rPr>
          <w:i/>
          <w:iCs/>
          <w:szCs w:val="24"/>
        </w:rPr>
      </w:pPr>
      <w:r w:rsidRPr="007B410E">
        <w:rPr>
          <w:i/>
          <w:iCs/>
          <w:szCs w:val="24"/>
        </w:rPr>
        <w:t>Voir le tableau 3 au point 7 des termes de référence “durée et organisation de la mission”</w:t>
      </w:r>
    </w:p>
    <w:p w14:paraId="694261B9" w14:textId="32E03553" w:rsidR="0044022A" w:rsidRPr="007B410E" w:rsidRDefault="0044022A">
      <w:pPr>
        <w:pStyle w:val="Blockquote"/>
        <w:spacing w:before="0" w:after="0"/>
        <w:ind w:left="0" w:right="0"/>
        <w:jc w:val="both"/>
        <w:rPr>
          <w:rStyle w:val="Accentuation"/>
          <w:b/>
          <w:bCs/>
          <w:i w:val="0"/>
          <w:iCs/>
          <w:szCs w:val="24"/>
        </w:rPr>
      </w:pPr>
    </w:p>
    <w:p w14:paraId="45FE9F27" w14:textId="77777777" w:rsidR="00465404" w:rsidRPr="007B410E" w:rsidRDefault="00465404" w:rsidP="00724B98">
      <w:pPr>
        <w:rPr>
          <w:szCs w:val="24"/>
        </w:rPr>
      </w:pPr>
    </w:p>
    <w:p w14:paraId="08611F9B" w14:textId="77777777" w:rsidR="0044022A" w:rsidRPr="007B410E" w:rsidRDefault="0044022A">
      <w:pPr>
        <w:pStyle w:val="Titre3"/>
        <w:spacing w:before="0" w:after="0"/>
        <w:rPr>
          <w:rStyle w:val="lev"/>
          <w:rFonts w:ascii="Times New Roman" w:hAnsi="Times New Roman" w:cs="Times New Roman"/>
          <w:b/>
          <w:bCs/>
          <w:szCs w:val="24"/>
        </w:rPr>
      </w:pPr>
      <w:r w:rsidRPr="007B410E">
        <w:rPr>
          <w:rStyle w:val="lev"/>
          <w:rFonts w:ascii="Times New Roman" w:hAnsi="Times New Roman" w:cs="Times New Roman"/>
          <w:b/>
          <w:bCs/>
          <w:szCs w:val="24"/>
        </w:rPr>
        <w:lastRenderedPageBreak/>
        <w:t>CRITÈRES DE SÉLECTION ET D'ATTRIBUTION</w:t>
      </w:r>
    </w:p>
    <w:p w14:paraId="1106410C" w14:textId="77777777" w:rsidR="0044022A" w:rsidRPr="007B410E" w:rsidRDefault="0044022A">
      <w:pPr>
        <w:spacing w:before="0" w:after="0"/>
        <w:rPr>
          <w:szCs w:val="24"/>
        </w:rPr>
      </w:pPr>
    </w:p>
    <w:p w14:paraId="37FA24A1" w14:textId="77777777" w:rsidR="0044022A" w:rsidRPr="007B410E" w:rsidRDefault="0044022A">
      <w:pPr>
        <w:spacing w:before="0" w:after="0"/>
        <w:rPr>
          <w:rStyle w:val="lev"/>
          <w:szCs w:val="24"/>
        </w:rPr>
      </w:pPr>
      <w:r w:rsidRPr="007B410E">
        <w:rPr>
          <w:rStyle w:val="lev"/>
          <w:szCs w:val="24"/>
        </w:rPr>
        <w:t>11. Critères de sélection</w:t>
      </w:r>
    </w:p>
    <w:p w14:paraId="3C3771C9" w14:textId="1D2441A6" w:rsidR="0044022A" w:rsidRPr="007B410E" w:rsidRDefault="0044022A" w:rsidP="00724B98">
      <w:pPr>
        <w:pStyle w:val="Blockquote"/>
        <w:spacing w:after="0"/>
        <w:ind w:left="0" w:right="0"/>
        <w:jc w:val="both"/>
        <w:rPr>
          <w:szCs w:val="24"/>
        </w:rPr>
      </w:pPr>
      <w:r w:rsidRPr="007B410E">
        <w:rPr>
          <w:szCs w:val="24"/>
        </w:rPr>
        <w:t xml:space="preserve">Les critères de sélection suivants seront appliqués aux soumissionnaires. Dans le cas où les </w:t>
      </w:r>
      <w:r w:rsidR="00E34764" w:rsidRPr="007B410E">
        <w:rPr>
          <w:szCs w:val="24"/>
        </w:rPr>
        <w:t>manifestations d’intérêt</w:t>
      </w:r>
      <w:r w:rsidRPr="007B410E">
        <w:rPr>
          <w:szCs w:val="24"/>
        </w:rPr>
        <w:t xml:space="preserve"> seraient soumises par un consortium, ces critères de sélection s'appliqueront au consortium dans son ensemble</w:t>
      </w:r>
      <w:r w:rsidR="00D80E10" w:rsidRPr="007B410E">
        <w:rPr>
          <w:szCs w:val="24"/>
        </w:rPr>
        <w:t xml:space="preserve"> </w:t>
      </w:r>
      <w:r w:rsidRPr="007B410E">
        <w:rPr>
          <w:szCs w:val="24"/>
        </w:rPr>
        <w:t>:</w:t>
      </w:r>
    </w:p>
    <w:p w14:paraId="3614FD78" w14:textId="77777777" w:rsidR="0044022A" w:rsidRPr="007B410E" w:rsidRDefault="0044022A">
      <w:pPr>
        <w:pStyle w:val="Blockquote"/>
        <w:spacing w:before="0" w:after="0"/>
        <w:ind w:left="0" w:right="0"/>
        <w:jc w:val="both"/>
        <w:rPr>
          <w:szCs w:val="24"/>
        </w:rPr>
      </w:pPr>
    </w:p>
    <w:p w14:paraId="5E4CA914" w14:textId="77777777" w:rsidR="0044022A" w:rsidRPr="007B410E" w:rsidRDefault="0044022A" w:rsidP="002D1410">
      <w:pPr>
        <w:pStyle w:val="Blockquote"/>
        <w:spacing w:before="0"/>
        <w:ind w:left="0" w:right="0"/>
        <w:jc w:val="both"/>
        <w:rPr>
          <w:szCs w:val="24"/>
        </w:rPr>
      </w:pPr>
      <w:r w:rsidRPr="007B410E">
        <w:rPr>
          <w:b/>
          <w:szCs w:val="24"/>
        </w:rPr>
        <w:t>1)</w:t>
      </w:r>
      <w:r w:rsidRPr="007B410E">
        <w:rPr>
          <w:szCs w:val="24"/>
        </w:rPr>
        <w:t xml:space="preserve"> </w:t>
      </w:r>
      <w:r w:rsidRPr="007B410E">
        <w:rPr>
          <w:b/>
          <w:szCs w:val="24"/>
        </w:rPr>
        <w:t>Capacité économique et financière du soumissionnaire</w:t>
      </w:r>
      <w:r w:rsidRPr="007B410E">
        <w:rPr>
          <w:szCs w:val="24"/>
        </w:rPr>
        <w:t>. Dans le cas où le soumissionnaire est un organisme public, une information équivalente devrait être fournie.</w:t>
      </w:r>
    </w:p>
    <w:p w14:paraId="1FFB61FB" w14:textId="4ADECDC2" w:rsidR="0044022A" w:rsidRPr="007B410E" w:rsidRDefault="008E63E8" w:rsidP="00724B98">
      <w:pPr>
        <w:pStyle w:val="Blockquote"/>
        <w:numPr>
          <w:ilvl w:val="0"/>
          <w:numId w:val="6"/>
        </w:numPr>
        <w:spacing w:before="0"/>
        <w:ind w:right="0"/>
        <w:jc w:val="both"/>
        <w:rPr>
          <w:szCs w:val="24"/>
        </w:rPr>
      </w:pPr>
      <w:r w:rsidRPr="007B410E">
        <w:rPr>
          <w:szCs w:val="24"/>
        </w:rPr>
        <w:t xml:space="preserve">Le candidat doit justifier d’un chiffre d’affaires moyen annuel d’au moins </w:t>
      </w:r>
      <w:r w:rsidR="00CB2767" w:rsidRPr="007B410E">
        <w:rPr>
          <w:b/>
          <w:bCs/>
          <w:szCs w:val="24"/>
        </w:rPr>
        <w:t>quarante</w:t>
      </w:r>
      <w:r w:rsidR="00FE3C8F" w:rsidRPr="007B410E" w:rsidDel="00FE3C8F">
        <w:rPr>
          <w:b/>
          <w:bCs/>
          <w:szCs w:val="24"/>
        </w:rPr>
        <w:t xml:space="preserve"> </w:t>
      </w:r>
      <w:r w:rsidRPr="007B410E">
        <w:rPr>
          <w:b/>
          <w:bCs/>
          <w:szCs w:val="24"/>
        </w:rPr>
        <w:t>millions (</w:t>
      </w:r>
      <w:r w:rsidR="00EB3586" w:rsidRPr="007B410E">
        <w:rPr>
          <w:b/>
          <w:bCs/>
          <w:szCs w:val="24"/>
        </w:rPr>
        <w:t>40 000 000</w:t>
      </w:r>
      <w:r w:rsidRPr="007B410E">
        <w:rPr>
          <w:b/>
          <w:bCs/>
          <w:szCs w:val="24"/>
        </w:rPr>
        <w:t>) de francs CFA</w:t>
      </w:r>
      <w:r w:rsidRPr="007B410E">
        <w:rPr>
          <w:szCs w:val="24"/>
        </w:rPr>
        <w:t xml:space="preserve"> au cours des trois</w:t>
      </w:r>
      <w:r w:rsidR="00577E63" w:rsidRPr="007B410E">
        <w:rPr>
          <w:szCs w:val="24"/>
        </w:rPr>
        <w:t xml:space="preserve"> (03)</w:t>
      </w:r>
      <w:r w:rsidRPr="007B410E">
        <w:rPr>
          <w:szCs w:val="24"/>
        </w:rPr>
        <w:t xml:space="preserve"> dernières années</w:t>
      </w:r>
      <w:r w:rsidR="00A2410F" w:rsidRPr="007B410E">
        <w:rPr>
          <w:szCs w:val="24"/>
        </w:rPr>
        <w:t xml:space="preserve"> 202</w:t>
      </w:r>
      <w:r w:rsidR="005C2289" w:rsidRPr="007B410E">
        <w:rPr>
          <w:szCs w:val="24"/>
        </w:rPr>
        <w:t>2</w:t>
      </w:r>
      <w:r w:rsidR="00CF724A" w:rsidRPr="007B410E">
        <w:rPr>
          <w:szCs w:val="24"/>
        </w:rPr>
        <w:t>,</w:t>
      </w:r>
      <w:r w:rsidR="00A2410F" w:rsidRPr="007B410E">
        <w:rPr>
          <w:szCs w:val="24"/>
        </w:rPr>
        <w:t xml:space="preserve"> 202</w:t>
      </w:r>
      <w:r w:rsidR="005C2289" w:rsidRPr="007B410E">
        <w:rPr>
          <w:szCs w:val="24"/>
        </w:rPr>
        <w:t>3</w:t>
      </w:r>
      <w:r w:rsidR="00CF724A" w:rsidRPr="007B410E">
        <w:rPr>
          <w:szCs w:val="24"/>
        </w:rPr>
        <w:t xml:space="preserve"> et 202</w:t>
      </w:r>
      <w:r w:rsidR="005C2289" w:rsidRPr="007B410E">
        <w:rPr>
          <w:szCs w:val="24"/>
        </w:rPr>
        <w:t>4</w:t>
      </w:r>
      <w:r w:rsidRPr="007B410E">
        <w:rPr>
          <w:szCs w:val="24"/>
        </w:rPr>
        <w:t xml:space="preserve"> </w:t>
      </w:r>
      <w:r w:rsidR="004F1B8E" w:rsidRPr="007B410E">
        <w:rPr>
          <w:szCs w:val="24"/>
        </w:rPr>
        <w:t>dans le cadre des missions de suivi-évaluation des résultats des projets de construction de centrale solaire et de grande extension de</w:t>
      </w:r>
      <w:r w:rsidR="008D23A7" w:rsidRPr="007B410E">
        <w:rPr>
          <w:szCs w:val="24"/>
        </w:rPr>
        <w:t>s</w:t>
      </w:r>
      <w:r w:rsidR="004F1B8E" w:rsidRPr="007B410E">
        <w:rPr>
          <w:szCs w:val="24"/>
        </w:rPr>
        <w:t xml:space="preserve"> réseaux de transport</w:t>
      </w:r>
      <w:r w:rsidR="004E0869" w:rsidRPr="007B410E">
        <w:rPr>
          <w:szCs w:val="24"/>
        </w:rPr>
        <w:t xml:space="preserve"> HTB</w:t>
      </w:r>
      <w:r w:rsidRPr="007B410E">
        <w:rPr>
          <w:szCs w:val="24"/>
        </w:rPr>
        <w:t>.</w:t>
      </w:r>
      <w:r w:rsidR="0044022A" w:rsidRPr="007B410E">
        <w:rPr>
          <w:szCs w:val="24"/>
        </w:rPr>
        <w:t xml:space="preserve"> </w:t>
      </w:r>
    </w:p>
    <w:p w14:paraId="3315D38D" w14:textId="742FC060" w:rsidR="00E34764" w:rsidRPr="007B410E" w:rsidRDefault="00E34764" w:rsidP="00724B98">
      <w:pPr>
        <w:pStyle w:val="Blockquote"/>
        <w:spacing w:before="0"/>
        <w:ind w:left="0" w:right="0"/>
        <w:jc w:val="both"/>
        <w:rPr>
          <w:b/>
          <w:bCs/>
          <w:szCs w:val="24"/>
        </w:rPr>
      </w:pPr>
      <w:r w:rsidRPr="007B410E">
        <w:rPr>
          <w:b/>
          <w:bCs/>
          <w:szCs w:val="24"/>
        </w:rPr>
        <w:t xml:space="preserve">2) Capacité professionnelle </w:t>
      </w:r>
      <w:r w:rsidR="00A135FF" w:rsidRPr="007B410E">
        <w:rPr>
          <w:b/>
          <w:bCs/>
          <w:szCs w:val="24"/>
        </w:rPr>
        <w:t>du soumissionnaire</w:t>
      </w:r>
    </w:p>
    <w:p w14:paraId="06FF7870" w14:textId="69EBD9E2" w:rsidR="00E34764" w:rsidRPr="007B410E" w:rsidRDefault="008D23A7" w:rsidP="00724B98">
      <w:pPr>
        <w:pStyle w:val="Blockquote"/>
        <w:numPr>
          <w:ilvl w:val="0"/>
          <w:numId w:val="20"/>
        </w:numPr>
        <w:spacing w:before="0" w:after="0"/>
        <w:ind w:right="0"/>
        <w:jc w:val="both"/>
        <w:rPr>
          <w:szCs w:val="24"/>
        </w:rPr>
      </w:pPr>
      <w:r w:rsidRPr="007B410E">
        <w:rPr>
          <w:szCs w:val="24"/>
        </w:rPr>
        <w:t xml:space="preserve">Le soumissionnaire doit avoir une autorisation officielle d’exercer dans le domaine des prestations, attestée par une inscription au registre du commerce ou toute autre pièce officielle, et disposant d’une bonne maîtrise en expertise, en mobilisation sociale, en communication et enquête socio-économique </w:t>
      </w:r>
      <w:r w:rsidR="003E4D9F" w:rsidRPr="007B410E">
        <w:rPr>
          <w:szCs w:val="24"/>
        </w:rPr>
        <w:t>;</w:t>
      </w:r>
    </w:p>
    <w:p w14:paraId="5E555298" w14:textId="67A979E1" w:rsidR="00420472" w:rsidRPr="007B410E" w:rsidRDefault="00A135FF" w:rsidP="00724B98">
      <w:pPr>
        <w:pStyle w:val="Blockquote"/>
        <w:numPr>
          <w:ilvl w:val="0"/>
          <w:numId w:val="20"/>
        </w:numPr>
        <w:spacing w:before="0"/>
        <w:ind w:right="0"/>
        <w:jc w:val="both"/>
        <w:rPr>
          <w:szCs w:val="24"/>
        </w:rPr>
      </w:pPr>
      <w:r w:rsidRPr="007B410E">
        <w:rPr>
          <w:szCs w:val="24"/>
        </w:rPr>
        <w:t>Le soumissionnaire doit disposer parmi son personnel permanent</w:t>
      </w:r>
      <w:r w:rsidR="008D23A7" w:rsidRPr="007B410E">
        <w:rPr>
          <w:szCs w:val="24"/>
        </w:rPr>
        <w:t xml:space="preserve"> de</w:t>
      </w:r>
      <w:r w:rsidR="00420472" w:rsidRPr="007B410E">
        <w:rPr>
          <w:szCs w:val="24"/>
        </w:rPr>
        <w:t> :</w:t>
      </w:r>
    </w:p>
    <w:p w14:paraId="500D4D96" w14:textId="44F1E55F" w:rsidR="00420472" w:rsidRPr="007B410E" w:rsidRDefault="008D23A7" w:rsidP="003C3B67">
      <w:pPr>
        <w:pStyle w:val="Blockquote"/>
        <w:numPr>
          <w:ilvl w:val="0"/>
          <w:numId w:val="24"/>
        </w:numPr>
        <w:spacing w:before="0"/>
        <w:jc w:val="both"/>
        <w:rPr>
          <w:szCs w:val="24"/>
        </w:rPr>
      </w:pPr>
      <w:proofErr w:type="gramStart"/>
      <w:r w:rsidRPr="007B410E">
        <w:rPr>
          <w:szCs w:val="24"/>
        </w:rPr>
        <w:t>un</w:t>
      </w:r>
      <w:proofErr w:type="gramEnd"/>
      <w:r w:rsidRPr="007B410E">
        <w:rPr>
          <w:szCs w:val="24"/>
        </w:rPr>
        <w:t xml:space="preserve"> statisticien, économiste ou enquêteur-sociologue de niveau BAC+5 au moins avec </w:t>
      </w:r>
      <w:r w:rsidR="002E4FFC" w:rsidRPr="007B410E">
        <w:rPr>
          <w:szCs w:val="24"/>
        </w:rPr>
        <w:t>dix</w:t>
      </w:r>
      <w:r w:rsidRPr="007B410E">
        <w:rPr>
          <w:szCs w:val="24"/>
        </w:rPr>
        <w:t xml:space="preserve"> (</w:t>
      </w:r>
      <w:r w:rsidR="002E4FFC" w:rsidRPr="007B410E">
        <w:rPr>
          <w:szCs w:val="24"/>
        </w:rPr>
        <w:t>10</w:t>
      </w:r>
      <w:r w:rsidRPr="007B410E">
        <w:rPr>
          <w:szCs w:val="24"/>
        </w:rPr>
        <w:t>) ans d’expérience professionnelle</w:t>
      </w:r>
      <w:r w:rsidRPr="007B410E" w:rsidDel="008D23A7">
        <w:rPr>
          <w:szCs w:val="24"/>
        </w:rPr>
        <w:t xml:space="preserve"> </w:t>
      </w:r>
      <w:r w:rsidR="00420472" w:rsidRPr="007B410E">
        <w:rPr>
          <w:szCs w:val="24"/>
        </w:rPr>
        <w:t>(Fournir le diplôme et le CV)</w:t>
      </w:r>
      <w:r w:rsidR="007E0924" w:rsidRPr="007B410E">
        <w:rPr>
          <w:szCs w:val="24"/>
        </w:rPr>
        <w:t xml:space="preserve"> </w:t>
      </w:r>
      <w:r w:rsidR="00420472" w:rsidRPr="007B410E">
        <w:rPr>
          <w:szCs w:val="24"/>
        </w:rPr>
        <w:t xml:space="preserve">; </w:t>
      </w:r>
    </w:p>
    <w:p w14:paraId="4A250320" w14:textId="28B6B06E" w:rsidR="00D637EF" w:rsidRPr="007B410E" w:rsidRDefault="007E0924" w:rsidP="0042599B">
      <w:pPr>
        <w:pStyle w:val="Blockquote"/>
        <w:numPr>
          <w:ilvl w:val="0"/>
          <w:numId w:val="23"/>
        </w:numPr>
        <w:spacing w:before="0"/>
        <w:ind w:right="0"/>
        <w:jc w:val="both"/>
        <w:rPr>
          <w:szCs w:val="24"/>
        </w:rPr>
      </w:pPr>
      <w:proofErr w:type="gramStart"/>
      <w:r w:rsidRPr="007B410E">
        <w:rPr>
          <w:szCs w:val="24"/>
        </w:rPr>
        <w:t>un</w:t>
      </w:r>
      <w:proofErr w:type="gramEnd"/>
      <w:r w:rsidRPr="007B410E">
        <w:rPr>
          <w:szCs w:val="24"/>
        </w:rPr>
        <w:t xml:space="preserve"> </w:t>
      </w:r>
      <w:r w:rsidR="002E4FFC" w:rsidRPr="007B410E">
        <w:rPr>
          <w:szCs w:val="24"/>
        </w:rPr>
        <w:t>expert environnementaliste</w:t>
      </w:r>
      <w:r w:rsidRPr="007B410E">
        <w:rPr>
          <w:szCs w:val="24"/>
        </w:rPr>
        <w:t xml:space="preserve"> </w:t>
      </w:r>
      <w:r w:rsidR="002E4FFC" w:rsidRPr="007B410E">
        <w:rPr>
          <w:szCs w:val="24"/>
        </w:rPr>
        <w:t>de niveau BAC+5 au moins avec sept (07) ans d’expérience professionnelle (Fournir le diplôme et le CV)</w:t>
      </w:r>
      <w:r w:rsidR="00D416BC" w:rsidRPr="007B410E">
        <w:rPr>
          <w:szCs w:val="24"/>
        </w:rPr>
        <w:t xml:space="preserve"> </w:t>
      </w:r>
      <w:r w:rsidR="00D637EF" w:rsidRPr="007B410E">
        <w:rPr>
          <w:szCs w:val="24"/>
        </w:rPr>
        <w:t>;</w:t>
      </w:r>
    </w:p>
    <w:p w14:paraId="40F7CBDD" w14:textId="77777777" w:rsidR="007E0924" w:rsidRPr="007B410E" w:rsidRDefault="007E0924" w:rsidP="003C3B67">
      <w:pPr>
        <w:pStyle w:val="Blockquote"/>
        <w:spacing w:before="0"/>
        <w:ind w:left="1500" w:right="0"/>
        <w:jc w:val="both"/>
        <w:rPr>
          <w:szCs w:val="24"/>
        </w:rPr>
      </w:pPr>
    </w:p>
    <w:p w14:paraId="4BDF126B" w14:textId="32112319" w:rsidR="00FA3595" w:rsidRPr="007B410E" w:rsidRDefault="00076F2C" w:rsidP="00076F2C">
      <w:pPr>
        <w:pStyle w:val="Blockquote"/>
        <w:spacing w:before="0" w:after="0"/>
        <w:ind w:left="0" w:right="0"/>
        <w:jc w:val="both"/>
        <w:rPr>
          <w:b/>
          <w:bCs/>
          <w:szCs w:val="24"/>
        </w:rPr>
      </w:pPr>
      <w:r w:rsidRPr="007B410E">
        <w:rPr>
          <w:b/>
          <w:bCs/>
          <w:szCs w:val="24"/>
        </w:rPr>
        <w:t xml:space="preserve">3) Pièces administratives à fournir </w:t>
      </w:r>
      <w:r w:rsidR="00693FDC" w:rsidRPr="007B410E">
        <w:rPr>
          <w:b/>
          <w:bCs/>
          <w:szCs w:val="24"/>
        </w:rPr>
        <w:t>par le soumissionnaire</w:t>
      </w:r>
    </w:p>
    <w:p w14:paraId="49B8CEAA" w14:textId="3B082FC6" w:rsidR="009847CB" w:rsidRPr="007B410E" w:rsidRDefault="009847CB" w:rsidP="009847CB">
      <w:pPr>
        <w:rPr>
          <w:szCs w:val="24"/>
        </w:rPr>
      </w:pPr>
      <w:r w:rsidRPr="007B410E">
        <w:rPr>
          <w:szCs w:val="24"/>
        </w:rPr>
        <w:t>Le cabinet devra fournir les pièces administratives listées ci-dessous</w:t>
      </w:r>
      <w:r w:rsidR="00754A70" w:rsidRPr="007B410E">
        <w:rPr>
          <w:szCs w:val="24"/>
        </w:rPr>
        <w:t xml:space="preserve"> dans son </w:t>
      </w:r>
      <w:r w:rsidR="000449BD" w:rsidRPr="007B410E">
        <w:rPr>
          <w:szCs w:val="24"/>
        </w:rPr>
        <w:t>offre :</w:t>
      </w:r>
      <w:r w:rsidRPr="007B410E">
        <w:rPr>
          <w:szCs w:val="24"/>
        </w:rPr>
        <w:t xml:space="preserve"> </w:t>
      </w:r>
    </w:p>
    <w:p w14:paraId="3DB1D8E9" w14:textId="1C58167A" w:rsidR="000449BD" w:rsidRPr="007B410E" w:rsidRDefault="00192BD0" w:rsidP="000449BD">
      <w:pPr>
        <w:widowControl/>
        <w:numPr>
          <w:ilvl w:val="0"/>
          <w:numId w:val="18"/>
        </w:numPr>
        <w:suppressAutoHyphens w:val="0"/>
        <w:spacing w:before="0" w:after="120"/>
        <w:ind w:left="714" w:hanging="357"/>
        <w:jc w:val="both"/>
        <w:rPr>
          <w:b/>
          <w:bCs/>
          <w:szCs w:val="24"/>
        </w:rPr>
      </w:pPr>
      <w:proofErr w:type="gramStart"/>
      <w:r w:rsidRPr="007B410E">
        <w:rPr>
          <w:b/>
          <w:bCs/>
          <w:szCs w:val="24"/>
        </w:rPr>
        <w:t>l</w:t>
      </w:r>
      <w:r w:rsidR="000449BD" w:rsidRPr="007B410E">
        <w:rPr>
          <w:b/>
          <w:bCs/>
          <w:szCs w:val="24"/>
        </w:rPr>
        <w:t>’attestation</w:t>
      </w:r>
      <w:proofErr w:type="gramEnd"/>
      <w:r w:rsidR="000449BD" w:rsidRPr="007B410E">
        <w:rPr>
          <w:b/>
          <w:bCs/>
          <w:szCs w:val="24"/>
        </w:rPr>
        <w:t xml:space="preserve"> d’inscription au Registre du Commerce et du Crédit Mobilier</w:t>
      </w:r>
      <w:r w:rsidR="000449BD" w:rsidRPr="007B410E">
        <w:rPr>
          <w:szCs w:val="24"/>
        </w:rPr>
        <w:t> </w:t>
      </w:r>
      <w:r w:rsidR="000449BD" w:rsidRPr="007B410E">
        <w:rPr>
          <w:b/>
          <w:bCs/>
          <w:szCs w:val="24"/>
        </w:rPr>
        <w:t xml:space="preserve">du pays d’origine </w:t>
      </w:r>
      <w:r w:rsidR="000449BD" w:rsidRPr="007B410E">
        <w:rPr>
          <w:szCs w:val="24"/>
        </w:rPr>
        <w:t>(Preuve que l’entreprise est inscrite au registre du commerce et autorisée à exercer légalement) ;</w:t>
      </w:r>
    </w:p>
    <w:p w14:paraId="51DD2AF2" w14:textId="7A631238" w:rsidR="009847CB" w:rsidRPr="007B410E" w:rsidRDefault="00192BD0" w:rsidP="003234BE">
      <w:pPr>
        <w:widowControl/>
        <w:numPr>
          <w:ilvl w:val="0"/>
          <w:numId w:val="18"/>
        </w:numPr>
        <w:suppressAutoHyphens w:val="0"/>
        <w:spacing w:before="0" w:after="120"/>
        <w:ind w:left="714" w:hanging="357"/>
        <w:jc w:val="both"/>
        <w:rPr>
          <w:color w:val="000000" w:themeColor="text1"/>
          <w:szCs w:val="24"/>
        </w:rPr>
      </w:pPr>
      <w:proofErr w:type="gramStart"/>
      <w:r w:rsidRPr="007B410E">
        <w:rPr>
          <w:b/>
          <w:bCs/>
          <w:color w:val="000000" w:themeColor="text1"/>
          <w:szCs w:val="24"/>
        </w:rPr>
        <w:t>l</w:t>
      </w:r>
      <w:r w:rsidR="009847CB" w:rsidRPr="007B410E">
        <w:rPr>
          <w:b/>
          <w:bCs/>
          <w:color w:val="000000" w:themeColor="text1"/>
          <w:szCs w:val="24"/>
        </w:rPr>
        <w:t>’attestation</w:t>
      </w:r>
      <w:proofErr w:type="gramEnd"/>
      <w:r w:rsidR="009847CB" w:rsidRPr="007B410E">
        <w:rPr>
          <w:b/>
          <w:bCs/>
          <w:color w:val="000000" w:themeColor="text1"/>
          <w:szCs w:val="24"/>
        </w:rPr>
        <w:t xml:space="preserve"> de régularité fiscale</w:t>
      </w:r>
      <w:r w:rsidR="009847CB" w:rsidRPr="007B410E">
        <w:rPr>
          <w:color w:val="000000" w:themeColor="text1"/>
          <w:szCs w:val="24"/>
        </w:rPr>
        <w:t> </w:t>
      </w:r>
      <w:r w:rsidR="009847CB" w:rsidRPr="007B410E">
        <w:rPr>
          <w:b/>
          <w:bCs/>
          <w:color w:val="000000" w:themeColor="text1"/>
          <w:szCs w:val="24"/>
        </w:rPr>
        <w:t xml:space="preserve">à jour du pays </w:t>
      </w:r>
      <w:r w:rsidR="000449BD" w:rsidRPr="007B410E">
        <w:rPr>
          <w:b/>
          <w:bCs/>
          <w:color w:val="000000" w:themeColor="text1"/>
          <w:szCs w:val="24"/>
        </w:rPr>
        <w:t>d’origine</w:t>
      </w:r>
      <w:r w:rsidR="009847CB" w:rsidRPr="007B410E">
        <w:rPr>
          <w:color w:val="000000" w:themeColor="text1"/>
          <w:szCs w:val="24"/>
        </w:rPr>
        <w:t xml:space="preserve"> </w:t>
      </w:r>
      <w:r w:rsidR="000449BD" w:rsidRPr="007B410E">
        <w:rPr>
          <w:color w:val="000000" w:themeColor="text1"/>
          <w:szCs w:val="24"/>
        </w:rPr>
        <w:t>(Preuve</w:t>
      </w:r>
      <w:r w:rsidR="009847CB" w:rsidRPr="007B410E">
        <w:rPr>
          <w:color w:val="000000" w:themeColor="text1"/>
          <w:szCs w:val="24"/>
        </w:rPr>
        <w:t xml:space="preserve"> que l’entreprise e</w:t>
      </w:r>
      <w:r w:rsidR="001E2401" w:rsidRPr="007B410E">
        <w:rPr>
          <w:color w:val="000000" w:themeColor="text1"/>
          <w:szCs w:val="24"/>
        </w:rPr>
        <w:t>s</w:t>
      </w:r>
      <w:r w:rsidR="009847CB" w:rsidRPr="007B410E">
        <w:rPr>
          <w:color w:val="000000" w:themeColor="text1"/>
          <w:szCs w:val="24"/>
        </w:rPr>
        <w:t>t déclarée et à jour dans le payement de ses impôts et taxes</w:t>
      </w:r>
      <w:r w:rsidR="000449BD" w:rsidRPr="007B410E">
        <w:rPr>
          <w:color w:val="000000" w:themeColor="text1"/>
          <w:szCs w:val="24"/>
        </w:rPr>
        <w:t>) ;</w:t>
      </w:r>
    </w:p>
    <w:p w14:paraId="2B4A9D09" w14:textId="45BEEE9F" w:rsidR="009847CB" w:rsidRPr="007B410E" w:rsidRDefault="00192BD0" w:rsidP="003234BE">
      <w:pPr>
        <w:widowControl/>
        <w:numPr>
          <w:ilvl w:val="0"/>
          <w:numId w:val="18"/>
        </w:numPr>
        <w:suppressAutoHyphens w:val="0"/>
        <w:spacing w:before="0" w:after="120"/>
        <w:ind w:left="714" w:hanging="357"/>
        <w:jc w:val="both"/>
        <w:rPr>
          <w:color w:val="000000" w:themeColor="text1"/>
          <w:szCs w:val="24"/>
        </w:rPr>
      </w:pPr>
      <w:proofErr w:type="gramStart"/>
      <w:r w:rsidRPr="007B410E">
        <w:rPr>
          <w:b/>
          <w:bCs/>
          <w:color w:val="000000" w:themeColor="text1"/>
          <w:szCs w:val="24"/>
        </w:rPr>
        <w:t>l</w:t>
      </w:r>
      <w:r w:rsidR="009847CB" w:rsidRPr="007B410E">
        <w:rPr>
          <w:b/>
          <w:bCs/>
          <w:color w:val="000000" w:themeColor="text1"/>
          <w:szCs w:val="24"/>
        </w:rPr>
        <w:t>’attestation</w:t>
      </w:r>
      <w:proofErr w:type="gramEnd"/>
      <w:r w:rsidR="009847CB" w:rsidRPr="007B410E">
        <w:rPr>
          <w:b/>
          <w:bCs/>
          <w:color w:val="000000" w:themeColor="text1"/>
          <w:szCs w:val="24"/>
        </w:rPr>
        <w:t xml:space="preserve"> de payement de la </w:t>
      </w:r>
      <w:r w:rsidR="00D26A49" w:rsidRPr="007B410E">
        <w:rPr>
          <w:b/>
          <w:bCs/>
          <w:color w:val="000000" w:themeColor="text1"/>
          <w:szCs w:val="24"/>
        </w:rPr>
        <w:t xml:space="preserve">redevance de </w:t>
      </w:r>
      <w:r w:rsidR="000449BD" w:rsidRPr="007B410E">
        <w:rPr>
          <w:b/>
          <w:bCs/>
          <w:color w:val="000000" w:themeColor="text1"/>
          <w:szCs w:val="24"/>
        </w:rPr>
        <w:t>régulation</w:t>
      </w:r>
      <w:r w:rsidR="000449BD" w:rsidRPr="007B410E">
        <w:rPr>
          <w:color w:val="000000" w:themeColor="text1"/>
          <w:szCs w:val="24"/>
        </w:rPr>
        <w:t xml:space="preserve"> (</w:t>
      </w:r>
      <w:r w:rsidR="009847CB" w:rsidRPr="007B410E">
        <w:rPr>
          <w:color w:val="000000" w:themeColor="text1"/>
          <w:szCs w:val="24"/>
        </w:rPr>
        <w:t>Preuve que l’entreprise paie les redevances liées aux marchés publics, en vigueurs dans son pays d’origine</w:t>
      </w:r>
      <w:r w:rsidR="000449BD" w:rsidRPr="007B410E">
        <w:rPr>
          <w:color w:val="000000" w:themeColor="text1"/>
          <w:szCs w:val="24"/>
        </w:rPr>
        <w:t>) ;</w:t>
      </w:r>
    </w:p>
    <w:p w14:paraId="07CAE497" w14:textId="48D52267" w:rsidR="00693FDC" w:rsidRPr="007B410E" w:rsidRDefault="00192BD0" w:rsidP="00724B98">
      <w:pPr>
        <w:widowControl/>
        <w:numPr>
          <w:ilvl w:val="0"/>
          <w:numId w:val="18"/>
        </w:numPr>
        <w:suppressAutoHyphens w:val="0"/>
        <w:spacing w:before="0" w:after="0"/>
        <w:ind w:left="714" w:hanging="357"/>
        <w:jc w:val="both"/>
        <w:rPr>
          <w:color w:val="EE0000"/>
          <w:szCs w:val="24"/>
        </w:rPr>
      </w:pPr>
      <w:proofErr w:type="gramStart"/>
      <w:r w:rsidRPr="007B410E">
        <w:rPr>
          <w:b/>
          <w:bCs/>
          <w:color w:val="000000" w:themeColor="text1"/>
          <w:szCs w:val="24"/>
        </w:rPr>
        <w:t>l</w:t>
      </w:r>
      <w:r w:rsidR="009847CB" w:rsidRPr="007B410E">
        <w:rPr>
          <w:b/>
          <w:bCs/>
          <w:color w:val="000000" w:themeColor="text1"/>
          <w:szCs w:val="24"/>
        </w:rPr>
        <w:t>e</w:t>
      </w:r>
      <w:proofErr w:type="gramEnd"/>
      <w:r w:rsidR="009847CB" w:rsidRPr="007B410E">
        <w:rPr>
          <w:b/>
          <w:bCs/>
          <w:color w:val="000000" w:themeColor="text1"/>
          <w:szCs w:val="24"/>
        </w:rPr>
        <w:t xml:space="preserve"> quitus social à jour du pays </w:t>
      </w:r>
      <w:r w:rsidR="000449BD" w:rsidRPr="007B410E">
        <w:rPr>
          <w:b/>
          <w:bCs/>
          <w:color w:val="000000" w:themeColor="text1"/>
          <w:szCs w:val="24"/>
        </w:rPr>
        <w:t xml:space="preserve">d’origine </w:t>
      </w:r>
      <w:r w:rsidR="000449BD" w:rsidRPr="007B410E">
        <w:rPr>
          <w:color w:val="000000" w:themeColor="text1"/>
          <w:szCs w:val="24"/>
        </w:rPr>
        <w:t>(</w:t>
      </w:r>
      <w:r w:rsidR="009847CB" w:rsidRPr="007B410E">
        <w:rPr>
          <w:color w:val="000000" w:themeColor="text1"/>
          <w:szCs w:val="24"/>
        </w:rPr>
        <w:t>Preuve que l’entreprise est déclarée, dispose des salariés pour qui elle verse une cotisation mensuelle</w:t>
      </w:r>
      <w:r w:rsidR="000449BD" w:rsidRPr="007B410E">
        <w:rPr>
          <w:color w:val="000000" w:themeColor="text1"/>
          <w:szCs w:val="24"/>
        </w:rPr>
        <w:t>)</w:t>
      </w:r>
      <w:r w:rsidR="0049250A" w:rsidRPr="007B410E">
        <w:rPr>
          <w:color w:val="000000" w:themeColor="text1"/>
          <w:szCs w:val="24"/>
        </w:rPr>
        <w:t>.</w:t>
      </w:r>
    </w:p>
    <w:p w14:paraId="756FF72C" w14:textId="77777777" w:rsidR="00E34764" w:rsidRPr="007B410E" w:rsidRDefault="00E34764">
      <w:pPr>
        <w:pStyle w:val="Blockquote"/>
        <w:spacing w:before="0" w:after="0"/>
        <w:ind w:left="0" w:right="0"/>
        <w:jc w:val="both"/>
        <w:rPr>
          <w:szCs w:val="24"/>
        </w:rPr>
      </w:pPr>
    </w:p>
    <w:p w14:paraId="3EAFCF22" w14:textId="239819BC" w:rsidR="00E34764" w:rsidRPr="007B410E" w:rsidRDefault="00076F2C" w:rsidP="00724B98">
      <w:pPr>
        <w:pStyle w:val="Blockquote"/>
        <w:spacing w:before="0"/>
        <w:ind w:left="0" w:right="0"/>
        <w:jc w:val="both"/>
        <w:rPr>
          <w:szCs w:val="24"/>
        </w:rPr>
      </w:pPr>
      <w:r w:rsidRPr="007B410E">
        <w:rPr>
          <w:b/>
          <w:szCs w:val="24"/>
        </w:rPr>
        <w:t>4</w:t>
      </w:r>
      <w:r w:rsidR="0044022A" w:rsidRPr="007B410E">
        <w:rPr>
          <w:b/>
          <w:szCs w:val="24"/>
        </w:rPr>
        <w:t>)</w:t>
      </w:r>
      <w:r w:rsidR="0044022A" w:rsidRPr="007B410E">
        <w:rPr>
          <w:szCs w:val="24"/>
        </w:rPr>
        <w:t xml:space="preserve"> </w:t>
      </w:r>
      <w:r w:rsidR="0044022A" w:rsidRPr="007B410E">
        <w:rPr>
          <w:b/>
          <w:szCs w:val="24"/>
        </w:rPr>
        <w:t>Capacité technique du soumissionnaire</w:t>
      </w:r>
      <w:r w:rsidR="0044022A" w:rsidRPr="007B410E">
        <w:rPr>
          <w:szCs w:val="24"/>
        </w:rPr>
        <w:t xml:space="preserve"> </w:t>
      </w:r>
    </w:p>
    <w:p w14:paraId="75A86DF4" w14:textId="7B469FCF" w:rsidR="002D36D5" w:rsidRPr="007B410E" w:rsidRDefault="00192BD0" w:rsidP="003234BE">
      <w:pPr>
        <w:pStyle w:val="Blockquote"/>
        <w:numPr>
          <w:ilvl w:val="0"/>
          <w:numId w:val="19"/>
        </w:numPr>
        <w:spacing w:before="0"/>
        <w:ind w:right="0"/>
        <w:jc w:val="both"/>
        <w:rPr>
          <w:szCs w:val="24"/>
        </w:rPr>
      </w:pPr>
      <w:proofErr w:type="gramStart"/>
      <w:r w:rsidRPr="007B410E">
        <w:rPr>
          <w:szCs w:val="24"/>
        </w:rPr>
        <w:t>d</w:t>
      </w:r>
      <w:r w:rsidR="00C51FB7" w:rsidRPr="007B410E">
        <w:rPr>
          <w:szCs w:val="24"/>
        </w:rPr>
        <w:t>isposer</w:t>
      </w:r>
      <w:proofErr w:type="gramEnd"/>
      <w:r w:rsidR="00C51FB7" w:rsidRPr="007B410E">
        <w:rPr>
          <w:szCs w:val="24"/>
        </w:rPr>
        <w:t xml:space="preserve"> d’au moins sept (07) ans d’expérience générale dans le suivi-évaluation des projets d’énergie (production/transport/distribution) incluant au moins</w:t>
      </w:r>
      <w:r w:rsidR="00F06674" w:rsidRPr="007B410E">
        <w:rPr>
          <w:szCs w:val="24"/>
        </w:rPr>
        <w:t> :</w:t>
      </w:r>
      <w:r w:rsidR="00C51FB7" w:rsidRPr="007B410E">
        <w:rPr>
          <w:szCs w:val="24"/>
        </w:rPr>
        <w:t xml:space="preserve"> le suivi et l’évaluation de</w:t>
      </w:r>
      <w:r w:rsidR="00F06674" w:rsidRPr="007B410E">
        <w:rPr>
          <w:szCs w:val="24"/>
        </w:rPr>
        <w:t>s</w:t>
      </w:r>
      <w:r w:rsidR="00C51FB7" w:rsidRPr="007B410E">
        <w:rPr>
          <w:szCs w:val="24"/>
        </w:rPr>
        <w:t xml:space="preserve"> projets de construction </w:t>
      </w:r>
      <w:r w:rsidR="00F06674" w:rsidRPr="007B410E">
        <w:rPr>
          <w:szCs w:val="24"/>
        </w:rPr>
        <w:t>de grandes centrales de production d’énergie à base du renouvelable (</w:t>
      </w:r>
      <w:r w:rsidR="00F06674" w:rsidRPr="007B410E">
        <w:rPr>
          <w:b/>
          <w:bCs/>
          <w:i/>
          <w:iCs/>
          <w:szCs w:val="24"/>
        </w:rPr>
        <w:t>Puissance produite &gt; 7 MW</w:t>
      </w:r>
      <w:r w:rsidR="00F06674" w:rsidRPr="007B410E">
        <w:rPr>
          <w:szCs w:val="24"/>
        </w:rPr>
        <w:t>) ou des projets de construction des postes électriques HTB/HTA, ou des projets de grande extension de réseaux</w:t>
      </w:r>
      <w:r w:rsidR="00AE7D41" w:rsidRPr="007B410E">
        <w:rPr>
          <w:szCs w:val="24"/>
        </w:rPr>
        <w:t xml:space="preserve"> électrique de transport</w:t>
      </w:r>
      <w:r w:rsidR="00F06674" w:rsidRPr="007B410E">
        <w:rPr>
          <w:szCs w:val="24"/>
        </w:rPr>
        <w:t xml:space="preserve"> </w:t>
      </w:r>
      <w:r w:rsidR="00AE7D41" w:rsidRPr="007B410E">
        <w:rPr>
          <w:szCs w:val="24"/>
        </w:rPr>
        <w:t xml:space="preserve">HTB </w:t>
      </w:r>
      <w:r w:rsidR="00AE7D41" w:rsidRPr="007B410E">
        <w:rPr>
          <w:b/>
          <w:bCs/>
          <w:szCs w:val="24"/>
        </w:rPr>
        <w:t>(</w:t>
      </w:r>
      <w:proofErr w:type="gramStart"/>
      <w:r w:rsidR="004066D1" w:rsidRPr="007B410E">
        <w:rPr>
          <w:b/>
          <w:bCs/>
          <w:i/>
          <w:iCs/>
          <w:szCs w:val="24"/>
        </w:rPr>
        <w:t xml:space="preserve">Tension </w:t>
      </w:r>
      <w:r w:rsidR="00AC10AF" w:rsidRPr="007B410E">
        <w:rPr>
          <w:b/>
          <w:bCs/>
          <w:i/>
          <w:iCs/>
          <w:szCs w:val="24"/>
        </w:rPr>
        <w:t xml:space="preserve"> </w:t>
      </w:r>
      <w:r w:rsidR="00AE7D41" w:rsidRPr="007B410E">
        <w:rPr>
          <w:b/>
          <w:bCs/>
          <w:i/>
          <w:iCs/>
          <w:szCs w:val="24"/>
        </w:rPr>
        <w:t>&gt;</w:t>
      </w:r>
      <w:proofErr w:type="gramEnd"/>
      <w:r w:rsidR="00AE7D41" w:rsidRPr="007B410E">
        <w:rPr>
          <w:b/>
          <w:bCs/>
          <w:i/>
          <w:iCs/>
          <w:szCs w:val="24"/>
        </w:rPr>
        <w:t xml:space="preserve"> 161 kV</w:t>
      </w:r>
      <w:r w:rsidR="00AE7D41" w:rsidRPr="007B410E">
        <w:rPr>
          <w:szCs w:val="24"/>
        </w:rPr>
        <w:t>)</w:t>
      </w:r>
      <w:r w:rsidRPr="007B410E">
        <w:rPr>
          <w:szCs w:val="24"/>
        </w:rPr>
        <w:t>,</w:t>
      </w:r>
    </w:p>
    <w:p w14:paraId="7BD1BA62" w14:textId="0092E528" w:rsidR="00634D06" w:rsidRPr="007B410E" w:rsidRDefault="00192BD0" w:rsidP="004D6401">
      <w:pPr>
        <w:pStyle w:val="Blockquote"/>
        <w:numPr>
          <w:ilvl w:val="0"/>
          <w:numId w:val="19"/>
        </w:numPr>
        <w:spacing w:before="0"/>
        <w:ind w:right="0"/>
        <w:jc w:val="both"/>
        <w:rPr>
          <w:szCs w:val="24"/>
        </w:rPr>
      </w:pPr>
      <w:r w:rsidRPr="007B410E">
        <w:rPr>
          <w:color w:val="000000" w:themeColor="text1"/>
          <w:szCs w:val="24"/>
        </w:rPr>
        <w:lastRenderedPageBreak/>
        <w:t>j</w:t>
      </w:r>
      <w:r w:rsidR="00634D06" w:rsidRPr="007B410E">
        <w:rPr>
          <w:color w:val="000000" w:themeColor="text1"/>
          <w:szCs w:val="24"/>
        </w:rPr>
        <w:t xml:space="preserve">ustifier au cours des </w:t>
      </w:r>
      <w:r w:rsidR="00843D1B" w:rsidRPr="007B410E">
        <w:rPr>
          <w:b/>
          <w:bCs/>
          <w:i/>
          <w:iCs/>
          <w:color w:val="000000" w:themeColor="text1"/>
          <w:szCs w:val="24"/>
        </w:rPr>
        <w:t>trois</w:t>
      </w:r>
      <w:r w:rsidR="00634D06" w:rsidRPr="007B410E">
        <w:rPr>
          <w:b/>
          <w:bCs/>
          <w:i/>
          <w:iCs/>
          <w:color w:val="000000" w:themeColor="text1"/>
          <w:szCs w:val="24"/>
        </w:rPr>
        <w:t xml:space="preserve"> (</w:t>
      </w:r>
      <w:r w:rsidR="00843D1B" w:rsidRPr="007B410E">
        <w:rPr>
          <w:b/>
          <w:bCs/>
          <w:i/>
          <w:iCs/>
          <w:color w:val="000000" w:themeColor="text1"/>
          <w:szCs w:val="24"/>
        </w:rPr>
        <w:t>03</w:t>
      </w:r>
      <w:r w:rsidR="00634D06" w:rsidRPr="007B410E">
        <w:rPr>
          <w:b/>
          <w:bCs/>
          <w:i/>
          <w:iCs/>
          <w:color w:val="000000" w:themeColor="text1"/>
          <w:szCs w:val="24"/>
        </w:rPr>
        <w:t>) dernières années</w:t>
      </w:r>
      <w:r w:rsidR="001949D1" w:rsidRPr="007B410E">
        <w:rPr>
          <w:b/>
          <w:bCs/>
          <w:i/>
          <w:iCs/>
          <w:color w:val="000000" w:themeColor="text1"/>
          <w:szCs w:val="24"/>
        </w:rPr>
        <w:t xml:space="preserve"> (20</w:t>
      </w:r>
      <w:r w:rsidR="00843D1B" w:rsidRPr="007B410E">
        <w:rPr>
          <w:b/>
          <w:bCs/>
          <w:i/>
          <w:iCs/>
          <w:color w:val="000000" w:themeColor="text1"/>
          <w:szCs w:val="24"/>
        </w:rPr>
        <w:t>2</w:t>
      </w:r>
      <w:r w:rsidR="004D6401" w:rsidRPr="007B410E">
        <w:rPr>
          <w:b/>
          <w:bCs/>
          <w:i/>
          <w:iCs/>
          <w:color w:val="000000" w:themeColor="text1"/>
          <w:szCs w:val="24"/>
        </w:rPr>
        <w:t>3</w:t>
      </w:r>
      <w:r w:rsidR="00A45D32" w:rsidRPr="007B410E">
        <w:rPr>
          <w:b/>
          <w:bCs/>
          <w:i/>
          <w:iCs/>
          <w:color w:val="000000" w:themeColor="text1"/>
          <w:szCs w:val="24"/>
        </w:rPr>
        <w:t>, 202</w:t>
      </w:r>
      <w:r w:rsidR="004D6401" w:rsidRPr="007B410E">
        <w:rPr>
          <w:b/>
          <w:bCs/>
          <w:i/>
          <w:iCs/>
          <w:color w:val="000000" w:themeColor="text1"/>
          <w:szCs w:val="24"/>
        </w:rPr>
        <w:t>4</w:t>
      </w:r>
      <w:r w:rsidR="00A45D32" w:rsidRPr="007B410E">
        <w:rPr>
          <w:b/>
          <w:bCs/>
          <w:i/>
          <w:iCs/>
          <w:color w:val="000000" w:themeColor="text1"/>
          <w:szCs w:val="24"/>
        </w:rPr>
        <w:t>, et</w:t>
      </w:r>
      <w:r w:rsidR="001949D1" w:rsidRPr="007B410E">
        <w:rPr>
          <w:b/>
          <w:bCs/>
          <w:i/>
          <w:iCs/>
          <w:color w:val="000000" w:themeColor="text1"/>
          <w:szCs w:val="24"/>
        </w:rPr>
        <w:t xml:space="preserve"> 202</w:t>
      </w:r>
      <w:r w:rsidR="004D6401" w:rsidRPr="007B410E">
        <w:rPr>
          <w:b/>
          <w:bCs/>
          <w:i/>
          <w:iCs/>
          <w:color w:val="000000" w:themeColor="text1"/>
          <w:szCs w:val="24"/>
        </w:rPr>
        <w:t>5</w:t>
      </w:r>
      <w:r w:rsidR="001949D1" w:rsidRPr="007B410E">
        <w:rPr>
          <w:b/>
          <w:bCs/>
          <w:i/>
          <w:iCs/>
          <w:color w:val="000000" w:themeColor="text1"/>
          <w:szCs w:val="24"/>
        </w:rPr>
        <w:t>)</w:t>
      </w:r>
      <w:r w:rsidR="00D959B6" w:rsidRPr="007B410E">
        <w:rPr>
          <w:b/>
          <w:bCs/>
          <w:i/>
          <w:iCs/>
          <w:color w:val="000000" w:themeColor="text1"/>
          <w:szCs w:val="24"/>
        </w:rPr>
        <w:t>,</w:t>
      </w:r>
      <w:r w:rsidR="00634D06" w:rsidRPr="007B410E">
        <w:rPr>
          <w:color w:val="000000" w:themeColor="text1"/>
          <w:szCs w:val="24"/>
        </w:rPr>
        <w:t xml:space="preserve"> au moins </w:t>
      </w:r>
      <w:r w:rsidR="000E4B3C" w:rsidRPr="007B410E">
        <w:rPr>
          <w:color w:val="000000" w:themeColor="text1"/>
          <w:szCs w:val="24"/>
        </w:rPr>
        <w:t>d</w:t>
      </w:r>
      <w:r w:rsidR="002D2AC8" w:rsidRPr="007B410E">
        <w:rPr>
          <w:color w:val="000000" w:themeColor="text1"/>
          <w:szCs w:val="24"/>
        </w:rPr>
        <w:t>’</w:t>
      </w:r>
      <w:r w:rsidR="002D2AC8" w:rsidRPr="007B410E">
        <w:rPr>
          <w:b/>
          <w:bCs/>
          <w:i/>
          <w:iCs/>
          <w:color w:val="000000" w:themeColor="text1"/>
          <w:szCs w:val="24"/>
        </w:rPr>
        <w:t>une</w:t>
      </w:r>
      <w:r w:rsidR="00634D06" w:rsidRPr="007B410E">
        <w:rPr>
          <w:b/>
          <w:bCs/>
          <w:i/>
          <w:iCs/>
          <w:color w:val="000000" w:themeColor="text1"/>
          <w:szCs w:val="24"/>
        </w:rPr>
        <w:t xml:space="preserve"> (0</w:t>
      </w:r>
      <w:r w:rsidR="002D2AC8" w:rsidRPr="007B410E">
        <w:rPr>
          <w:b/>
          <w:bCs/>
          <w:i/>
          <w:iCs/>
          <w:color w:val="000000" w:themeColor="text1"/>
          <w:szCs w:val="24"/>
        </w:rPr>
        <w:t>1</w:t>
      </w:r>
      <w:r w:rsidR="00634D06" w:rsidRPr="007B410E">
        <w:rPr>
          <w:b/>
          <w:bCs/>
          <w:i/>
          <w:iCs/>
          <w:color w:val="000000" w:themeColor="text1"/>
          <w:szCs w:val="24"/>
        </w:rPr>
        <w:t xml:space="preserve">) </w:t>
      </w:r>
      <w:r w:rsidR="000F7957" w:rsidRPr="007B410E">
        <w:rPr>
          <w:b/>
          <w:bCs/>
          <w:i/>
          <w:iCs/>
          <w:color w:val="000000" w:themeColor="text1"/>
          <w:szCs w:val="24"/>
        </w:rPr>
        <w:t>mission</w:t>
      </w:r>
      <w:r w:rsidR="000F7957" w:rsidRPr="007B410E">
        <w:rPr>
          <w:color w:val="000000" w:themeColor="text1"/>
          <w:szCs w:val="24"/>
        </w:rPr>
        <w:t xml:space="preserve"> de suivi-évaluation des résultats de développement des projets de construction </w:t>
      </w:r>
      <w:r w:rsidR="00CB3C94" w:rsidRPr="007B410E">
        <w:rPr>
          <w:color w:val="000000" w:themeColor="text1"/>
          <w:szCs w:val="24"/>
        </w:rPr>
        <w:t>centrale de production d’énergie à base du renouvelable</w:t>
      </w:r>
      <w:r w:rsidR="000F7957" w:rsidRPr="007B410E">
        <w:rPr>
          <w:color w:val="000000" w:themeColor="text1"/>
          <w:szCs w:val="24"/>
        </w:rPr>
        <w:t xml:space="preserve"> </w:t>
      </w:r>
      <w:r w:rsidR="0034250B" w:rsidRPr="007B410E">
        <w:rPr>
          <w:szCs w:val="24"/>
        </w:rPr>
        <w:t>(</w:t>
      </w:r>
      <w:r w:rsidR="0034250B" w:rsidRPr="007B410E">
        <w:rPr>
          <w:b/>
          <w:bCs/>
          <w:i/>
          <w:iCs/>
          <w:szCs w:val="24"/>
        </w:rPr>
        <w:t>Puissance produite &gt; 7 MW</w:t>
      </w:r>
      <w:r w:rsidR="0034250B" w:rsidRPr="007B410E">
        <w:rPr>
          <w:szCs w:val="24"/>
        </w:rPr>
        <w:t xml:space="preserve">) ou des projets de construction des postes électriques HTB/HTA, ou des projets de grande extension de réseaux électrique de transport HTB </w:t>
      </w:r>
      <w:r w:rsidR="0034250B" w:rsidRPr="007B410E">
        <w:rPr>
          <w:b/>
          <w:bCs/>
          <w:szCs w:val="24"/>
        </w:rPr>
        <w:t>(</w:t>
      </w:r>
      <w:r w:rsidR="0034250B" w:rsidRPr="007B410E">
        <w:rPr>
          <w:b/>
          <w:bCs/>
          <w:i/>
          <w:iCs/>
          <w:szCs w:val="24"/>
        </w:rPr>
        <w:t>Tension  &gt; 161 kV</w:t>
      </w:r>
      <w:r w:rsidR="0034250B" w:rsidRPr="007B410E">
        <w:rPr>
          <w:szCs w:val="24"/>
        </w:rPr>
        <w:t xml:space="preserve">) </w:t>
      </w:r>
      <w:r w:rsidR="000F7957" w:rsidRPr="007B410E">
        <w:rPr>
          <w:color w:val="000000" w:themeColor="text1"/>
          <w:szCs w:val="24"/>
        </w:rPr>
        <w:t xml:space="preserve">d’un montant de marché supérieur ou égal à </w:t>
      </w:r>
      <w:r w:rsidR="000F7957" w:rsidRPr="007B410E">
        <w:rPr>
          <w:b/>
          <w:bCs/>
          <w:color w:val="000000" w:themeColor="text1"/>
          <w:szCs w:val="24"/>
        </w:rPr>
        <w:t xml:space="preserve">cent millions </w:t>
      </w:r>
      <w:r w:rsidR="000F7957" w:rsidRPr="007B410E">
        <w:rPr>
          <w:color w:val="000000" w:themeColor="text1"/>
          <w:szCs w:val="24"/>
        </w:rPr>
        <w:t>(</w:t>
      </w:r>
      <w:r w:rsidR="000F7957" w:rsidRPr="007B410E">
        <w:rPr>
          <w:b/>
          <w:bCs/>
          <w:color w:val="000000" w:themeColor="text1"/>
          <w:szCs w:val="24"/>
        </w:rPr>
        <w:t>100 000 000</w:t>
      </w:r>
      <w:r w:rsidR="000F7957" w:rsidRPr="007B410E">
        <w:rPr>
          <w:color w:val="000000" w:themeColor="text1"/>
          <w:szCs w:val="24"/>
        </w:rPr>
        <w:t xml:space="preserve">) </w:t>
      </w:r>
      <w:r w:rsidR="000F7957" w:rsidRPr="007B410E">
        <w:rPr>
          <w:b/>
          <w:bCs/>
          <w:color w:val="000000" w:themeColor="text1"/>
          <w:szCs w:val="24"/>
        </w:rPr>
        <w:t>de francs CFA HT</w:t>
      </w:r>
      <w:r w:rsidR="00AE37B2" w:rsidRPr="007B410E">
        <w:rPr>
          <w:color w:val="000000" w:themeColor="text1"/>
          <w:szCs w:val="24"/>
        </w:rPr>
        <w:t>.</w:t>
      </w:r>
    </w:p>
    <w:p w14:paraId="70C9A5A5" w14:textId="7F686491" w:rsidR="001F6AAC" w:rsidRPr="007B410E" w:rsidRDefault="001F6AAC">
      <w:pPr>
        <w:pStyle w:val="Blockquote"/>
        <w:spacing w:before="0" w:after="0"/>
        <w:ind w:left="0" w:right="0"/>
        <w:jc w:val="both"/>
        <w:rPr>
          <w:szCs w:val="24"/>
        </w:rPr>
      </w:pPr>
    </w:p>
    <w:p w14:paraId="02E4ACDF" w14:textId="77777777" w:rsidR="00813759" w:rsidRPr="007B410E" w:rsidRDefault="00813759">
      <w:pPr>
        <w:pStyle w:val="Blockquote"/>
        <w:spacing w:before="0" w:after="0"/>
        <w:ind w:left="0" w:right="0"/>
        <w:jc w:val="both"/>
        <w:rPr>
          <w:b/>
          <w:szCs w:val="24"/>
        </w:rPr>
      </w:pPr>
      <w:r w:rsidRPr="007B410E">
        <w:rPr>
          <w:rFonts w:eastAsia="Calibri"/>
          <w:b/>
          <w:color w:val="000000"/>
          <w:szCs w:val="24"/>
        </w:rPr>
        <w:t>La liste des candidats présélectionnés comprendra entre 4 et 8 candidats.</w:t>
      </w:r>
    </w:p>
    <w:p w14:paraId="19C8994B" w14:textId="7C6C9F91" w:rsidR="001F6AAC" w:rsidRPr="007B410E" w:rsidRDefault="001F6AAC" w:rsidP="001F6AAC">
      <w:pPr>
        <w:pStyle w:val="Blockquote"/>
        <w:ind w:left="0" w:right="26"/>
        <w:jc w:val="both"/>
        <w:rPr>
          <w:b/>
          <w:bCs/>
          <w:i/>
          <w:iCs/>
          <w:szCs w:val="24"/>
        </w:rPr>
      </w:pPr>
      <w:r w:rsidRPr="007B410E">
        <w:rPr>
          <w:b/>
          <w:bCs/>
          <w:i/>
          <w:iCs/>
          <w:szCs w:val="24"/>
        </w:rPr>
        <w:t xml:space="preserve">Si plus de huit candidats éligibles satisfont aux critères de sélection énumérés ci-dessus, </w:t>
      </w:r>
      <w:r w:rsidR="00385DAF" w:rsidRPr="007B410E">
        <w:rPr>
          <w:b/>
          <w:bCs/>
          <w:i/>
          <w:iCs/>
          <w:szCs w:val="24"/>
        </w:rPr>
        <w:t>les candidatures seront classées pour retenir les huit (08) meilleurs au moyen des seuls critères comparatifs additionnels ci-après, appliqués successivement jusqu’à départage :</w:t>
      </w:r>
    </w:p>
    <w:p w14:paraId="712680BC" w14:textId="4F069FB5" w:rsidR="00761B91" w:rsidRPr="007B410E" w:rsidRDefault="00192BD0" w:rsidP="00075F95">
      <w:pPr>
        <w:pStyle w:val="Blockquote"/>
        <w:numPr>
          <w:ilvl w:val="0"/>
          <w:numId w:val="4"/>
        </w:numPr>
        <w:ind w:right="26"/>
        <w:jc w:val="both"/>
        <w:rPr>
          <w:szCs w:val="24"/>
        </w:rPr>
      </w:pPr>
      <w:r w:rsidRPr="007B410E">
        <w:rPr>
          <w:szCs w:val="24"/>
        </w:rPr>
        <w:t>v</w:t>
      </w:r>
      <w:r w:rsidR="0034250B" w:rsidRPr="007B410E">
        <w:rPr>
          <w:szCs w:val="24"/>
        </w:rPr>
        <w:t xml:space="preserve">aleur cumulée (montant HT) des missions de </w:t>
      </w:r>
      <w:r w:rsidR="0034250B" w:rsidRPr="007B410E">
        <w:rPr>
          <w:color w:val="000000" w:themeColor="text1"/>
          <w:szCs w:val="24"/>
        </w:rPr>
        <w:t>suivi-évaluation des performances de projets dans le secteur de la production et du transport d’énergie</w:t>
      </w:r>
      <w:r w:rsidR="00075F95" w:rsidRPr="007B410E">
        <w:rPr>
          <w:color w:val="000000" w:themeColor="text1"/>
          <w:szCs w:val="24"/>
        </w:rPr>
        <w:t xml:space="preserve"> électrique</w:t>
      </w:r>
      <w:r w:rsidR="0034250B" w:rsidRPr="007B410E">
        <w:rPr>
          <w:color w:val="000000" w:themeColor="text1"/>
          <w:szCs w:val="24"/>
        </w:rPr>
        <w:t>, notamment</w:t>
      </w:r>
      <w:r w:rsidR="00075F95" w:rsidRPr="007B410E">
        <w:rPr>
          <w:color w:val="000000" w:themeColor="text1"/>
          <w:szCs w:val="24"/>
        </w:rPr>
        <w:t xml:space="preserve"> : </w:t>
      </w:r>
      <w:r w:rsidR="0034250B" w:rsidRPr="007B410E">
        <w:rPr>
          <w:color w:val="000000" w:themeColor="text1"/>
          <w:szCs w:val="24"/>
        </w:rPr>
        <w:t xml:space="preserve">dans la construction </w:t>
      </w:r>
      <w:r w:rsidR="00075F95" w:rsidRPr="007B410E">
        <w:rPr>
          <w:szCs w:val="24"/>
        </w:rPr>
        <w:t>de grandes centrales de production d’énergie à base du renouvelable (</w:t>
      </w:r>
      <w:r w:rsidR="00075F95" w:rsidRPr="007B410E">
        <w:rPr>
          <w:b/>
          <w:bCs/>
          <w:i/>
          <w:iCs/>
          <w:szCs w:val="24"/>
        </w:rPr>
        <w:t>Puissance produite &gt; 7 MW</w:t>
      </w:r>
      <w:r w:rsidR="00075F95" w:rsidRPr="007B410E">
        <w:rPr>
          <w:szCs w:val="24"/>
        </w:rPr>
        <w:t>)</w:t>
      </w:r>
      <w:r w:rsidR="0034250B" w:rsidRPr="007B410E">
        <w:rPr>
          <w:color w:val="000000" w:themeColor="text1"/>
          <w:szCs w:val="24"/>
        </w:rPr>
        <w:t xml:space="preserve">, construction de poste de transformation HTA/HTB, construction de réseaux électriques de transport d’un montant de marché supérieur ou égal à </w:t>
      </w:r>
      <w:r w:rsidR="0034250B" w:rsidRPr="007B410E">
        <w:rPr>
          <w:b/>
          <w:bCs/>
          <w:color w:val="000000" w:themeColor="text1"/>
          <w:szCs w:val="24"/>
        </w:rPr>
        <w:t xml:space="preserve">cent millions </w:t>
      </w:r>
      <w:r w:rsidR="0034250B" w:rsidRPr="007B410E">
        <w:rPr>
          <w:color w:val="000000" w:themeColor="text1"/>
          <w:szCs w:val="24"/>
        </w:rPr>
        <w:t>(</w:t>
      </w:r>
      <w:r w:rsidR="0034250B" w:rsidRPr="007B410E">
        <w:rPr>
          <w:b/>
          <w:bCs/>
          <w:color w:val="000000" w:themeColor="text1"/>
          <w:szCs w:val="24"/>
        </w:rPr>
        <w:t>100 000 000</w:t>
      </w:r>
      <w:r w:rsidR="0034250B" w:rsidRPr="007B410E">
        <w:rPr>
          <w:color w:val="000000" w:themeColor="text1"/>
          <w:szCs w:val="24"/>
        </w:rPr>
        <w:t xml:space="preserve">) </w:t>
      </w:r>
      <w:r w:rsidR="0034250B" w:rsidRPr="007B410E">
        <w:rPr>
          <w:b/>
          <w:bCs/>
          <w:color w:val="000000" w:themeColor="text1"/>
          <w:szCs w:val="24"/>
        </w:rPr>
        <w:t>de francs CFA HT</w:t>
      </w:r>
      <w:r w:rsidR="0034250B" w:rsidRPr="007B410E">
        <w:rPr>
          <w:szCs w:val="24"/>
        </w:rPr>
        <w:t xml:space="preserve"> exécutées sur la période 2022-2024 </w:t>
      </w:r>
      <w:r w:rsidR="00761B91" w:rsidRPr="007B410E">
        <w:rPr>
          <w:szCs w:val="24"/>
        </w:rPr>
        <w:t>;</w:t>
      </w:r>
    </w:p>
    <w:p w14:paraId="69924002" w14:textId="5F01B4B1" w:rsidR="0081445D" w:rsidRPr="007B410E" w:rsidRDefault="00192BD0" w:rsidP="00C70169">
      <w:pPr>
        <w:pStyle w:val="Blockquote"/>
        <w:numPr>
          <w:ilvl w:val="0"/>
          <w:numId w:val="4"/>
        </w:numPr>
        <w:ind w:right="26"/>
        <w:jc w:val="both"/>
        <w:rPr>
          <w:szCs w:val="24"/>
        </w:rPr>
      </w:pPr>
      <w:proofErr w:type="gramStart"/>
      <w:r w:rsidRPr="007B410E">
        <w:rPr>
          <w:szCs w:val="24"/>
        </w:rPr>
        <w:t>n</w:t>
      </w:r>
      <w:r w:rsidR="00284E47" w:rsidRPr="007B410E">
        <w:rPr>
          <w:szCs w:val="24"/>
        </w:rPr>
        <w:t>ombre</w:t>
      </w:r>
      <w:proofErr w:type="gramEnd"/>
      <w:r w:rsidR="00284E47" w:rsidRPr="007B410E">
        <w:rPr>
          <w:szCs w:val="24"/>
        </w:rPr>
        <w:t xml:space="preserve"> de</w:t>
      </w:r>
      <w:r w:rsidR="008F25D6" w:rsidRPr="007B410E">
        <w:rPr>
          <w:szCs w:val="24"/>
        </w:rPr>
        <w:t xml:space="preserve"> </w:t>
      </w:r>
      <w:r w:rsidR="0081445D" w:rsidRPr="007B410E">
        <w:rPr>
          <w:szCs w:val="24"/>
        </w:rPr>
        <w:t>missions</w:t>
      </w:r>
      <w:r w:rsidR="008F25D6" w:rsidRPr="007B410E">
        <w:rPr>
          <w:szCs w:val="24"/>
        </w:rPr>
        <w:t xml:space="preserve"> </w:t>
      </w:r>
      <w:r w:rsidR="00284E47" w:rsidRPr="007B410E">
        <w:rPr>
          <w:szCs w:val="24"/>
        </w:rPr>
        <w:t xml:space="preserve">de suivi-évaluation des performances de projets </w:t>
      </w:r>
      <w:r w:rsidR="008F25D6" w:rsidRPr="007B410E">
        <w:rPr>
          <w:szCs w:val="24"/>
        </w:rPr>
        <w:t>citées au point</w:t>
      </w:r>
      <w:r w:rsidR="00D34861" w:rsidRPr="007B410E">
        <w:rPr>
          <w:szCs w:val="24"/>
        </w:rPr>
        <w:t xml:space="preserve"> i</w:t>
      </w:r>
      <w:r w:rsidR="00EF3150" w:rsidRPr="007B410E">
        <w:rPr>
          <w:szCs w:val="24"/>
        </w:rPr>
        <w:t xml:space="preserve"> </w:t>
      </w:r>
      <w:r w:rsidR="0081445D" w:rsidRPr="007B410E">
        <w:rPr>
          <w:szCs w:val="24"/>
        </w:rPr>
        <w:t>;</w:t>
      </w:r>
    </w:p>
    <w:p w14:paraId="643E4EDB" w14:textId="7F115ECF" w:rsidR="008C52E8" w:rsidRPr="007B410E" w:rsidRDefault="00192BD0" w:rsidP="00477CD9">
      <w:pPr>
        <w:pStyle w:val="Blockquote"/>
        <w:numPr>
          <w:ilvl w:val="0"/>
          <w:numId w:val="4"/>
        </w:numPr>
        <w:ind w:right="26"/>
        <w:jc w:val="both"/>
        <w:rPr>
          <w:szCs w:val="24"/>
        </w:rPr>
      </w:pPr>
      <w:proofErr w:type="gramStart"/>
      <w:r w:rsidRPr="007B410E">
        <w:rPr>
          <w:szCs w:val="24"/>
        </w:rPr>
        <w:t>n</w:t>
      </w:r>
      <w:r w:rsidR="00284E47" w:rsidRPr="007B410E">
        <w:rPr>
          <w:szCs w:val="24"/>
        </w:rPr>
        <w:t>ombre</w:t>
      </w:r>
      <w:proofErr w:type="gramEnd"/>
      <w:r w:rsidR="00284E47" w:rsidRPr="007B410E">
        <w:rPr>
          <w:szCs w:val="24"/>
        </w:rPr>
        <w:t xml:space="preserve"> de missions de suivi-évaluation des performances de projets </w:t>
      </w:r>
      <w:r w:rsidR="008C52E8" w:rsidRPr="007B410E">
        <w:rPr>
          <w:szCs w:val="24"/>
        </w:rPr>
        <w:t>financées par des bailleurs de fonds multilatéraux ;</w:t>
      </w:r>
    </w:p>
    <w:p w14:paraId="0F7E5D19" w14:textId="0DC2050E" w:rsidR="001F6AAC" w:rsidRPr="007B410E" w:rsidRDefault="00192BD0" w:rsidP="00124EC8">
      <w:pPr>
        <w:pStyle w:val="Blockquote"/>
        <w:numPr>
          <w:ilvl w:val="0"/>
          <w:numId w:val="4"/>
        </w:numPr>
        <w:suppressAutoHyphens w:val="0"/>
        <w:ind w:right="26"/>
        <w:jc w:val="both"/>
        <w:rPr>
          <w:szCs w:val="24"/>
        </w:rPr>
      </w:pPr>
      <w:proofErr w:type="gramStart"/>
      <w:r w:rsidRPr="007B410E">
        <w:rPr>
          <w:szCs w:val="24"/>
        </w:rPr>
        <w:t>d</w:t>
      </w:r>
      <w:r w:rsidR="00034134" w:rsidRPr="007B410E">
        <w:rPr>
          <w:szCs w:val="24"/>
        </w:rPr>
        <w:t>urée</w:t>
      </w:r>
      <w:proofErr w:type="gramEnd"/>
      <w:r w:rsidR="00034134" w:rsidRPr="007B410E">
        <w:rPr>
          <w:szCs w:val="24"/>
        </w:rPr>
        <w:t xml:space="preserve"> d’expérience globale (années) </w:t>
      </w:r>
      <w:r w:rsidR="000901CF" w:rsidRPr="007B410E">
        <w:rPr>
          <w:szCs w:val="24"/>
        </w:rPr>
        <w:t xml:space="preserve">dans </w:t>
      </w:r>
      <w:r w:rsidR="000901CF" w:rsidRPr="007B410E">
        <w:rPr>
          <w:szCs w:val="24"/>
          <w:lang w:val="fr-BE"/>
        </w:rPr>
        <w:t>le suivi-évaluation des projets de développement</w:t>
      </w:r>
      <w:r w:rsidR="00761B91" w:rsidRPr="007B410E">
        <w:rPr>
          <w:szCs w:val="24"/>
        </w:rPr>
        <w:t>.</w:t>
      </w:r>
    </w:p>
    <w:p w14:paraId="7DC6405A" w14:textId="11EB5A21" w:rsidR="001F6AAC" w:rsidRPr="007B410E" w:rsidRDefault="00544418" w:rsidP="00724B98">
      <w:pPr>
        <w:pStyle w:val="Blockquote"/>
        <w:spacing w:after="0"/>
        <w:ind w:left="0" w:right="26"/>
        <w:jc w:val="both"/>
        <w:rPr>
          <w:b/>
          <w:bCs/>
          <w:i/>
          <w:iCs/>
          <w:szCs w:val="24"/>
        </w:rPr>
      </w:pPr>
      <w:r w:rsidRPr="007B410E">
        <w:rPr>
          <w:b/>
          <w:szCs w:val="24"/>
        </w:rPr>
        <w:t>N.B</w:t>
      </w:r>
      <w:r w:rsidRPr="007B410E">
        <w:rPr>
          <w:szCs w:val="24"/>
        </w:rPr>
        <w:t>. :</w:t>
      </w:r>
      <w:r w:rsidR="001F6AAC" w:rsidRPr="007B410E">
        <w:rPr>
          <w:szCs w:val="24"/>
        </w:rPr>
        <w:t xml:space="preserve"> </w:t>
      </w:r>
      <w:r w:rsidR="00786460" w:rsidRPr="007B410E">
        <w:rPr>
          <w:b/>
          <w:bCs/>
          <w:i/>
          <w:iCs/>
          <w:szCs w:val="24"/>
        </w:rPr>
        <w:t>Si, à l’issue de l’application d’un critère, plusieurs candidats restent à parfaite égalité pour la 8ᵉ place, le critère suivant est appliqué uniquement à ces candidats ex aequo</w:t>
      </w:r>
      <w:r w:rsidR="001F6AAC" w:rsidRPr="007B410E">
        <w:rPr>
          <w:b/>
          <w:bCs/>
          <w:i/>
          <w:iCs/>
          <w:szCs w:val="24"/>
        </w:rPr>
        <w:t>.</w:t>
      </w:r>
    </w:p>
    <w:p w14:paraId="399FA658" w14:textId="77777777" w:rsidR="0044022A" w:rsidRPr="007B410E" w:rsidRDefault="0044022A">
      <w:pPr>
        <w:pStyle w:val="Blockquote"/>
        <w:spacing w:before="0" w:after="0"/>
        <w:ind w:left="0" w:right="0"/>
        <w:jc w:val="both"/>
        <w:rPr>
          <w:szCs w:val="24"/>
        </w:rPr>
      </w:pPr>
    </w:p>
    <w:p w14:paraId="3CBD5C4E" w14:textId="77777777" w:rsidR="0044022A" w:rsidRPr="007B410E" w:rsidRDefault="0044022A">
      <w:pPr>
        <w:spacing w:before="0" w:after="0"/>
        <w:rPr>
          <w:rStyle w:val="lev"/>
          <w:szCs w:val="24"/>
        </w:rPr>
      </w:pPr>
      <w:r w:rsidRPr="007B410E">
        <w:rPr>
          <w:rStyle w:val="lev"/>
          <w:szCs w:val="24"/>
        </w:rPr>
        <w:t>12. Critères d'attribution</w:t>
      </w:r>
    </w:p>
    <w:p w14:paraId="374422D8" w14:textId="18A90763" w:rsidR="0044022A" w:rsidRPr="007B410E" w:rsidRDefault="00DF55DC" w:rsidP="008C52E8">
      <w:pPr>
        <w:spacing w:after="0"/>
        <w:rPr>
          <w:b/>
          <w:bCs/>
          <w:szCs w:val="24"/>
        </w:rPr>
      </w:pPr>
      <w:r w:rsidRPr="007B410E">
        <w:rPr>
          <w:b/>
          <w:bCs/>
          <w:szCs w:val="24"/>
        </w:rPr>
        <w:t>S</w:t>
      </w:r>
      <w:r w:rsidR="008D3388" w:rsidRPr="007B410E">
        <w:rPr>
          <w:b/>
          <w:bCs/>
          <w:szCs w:val="24"/>
        </w:rPr>
        <w:t>élection basée sur la qualité et le coût</w:t>
      </w:r>
      <w:r w:rsidR="0044022A" w:rsidRPr="007B410E">
        <w:rPr>
          <w:b/>
          <w:bCs/>
          <w:szCs w:val="24"/>
        </w:rPr>
        <w:t>.</w:t>
      </w:r>
    </w:p>
    <w:p w14:paraId="4A942840" w14:textId="77777777" w:rsidR="00465404" w:rsidRPr="007B410E" w:rsidRDefault="00465404" w:rsidP="008C52E8">
      <w:pPr>
        <w:spacing w:after="0"/>
        <w:rPr>
          <w:b/>
          <w:bCs/>
          <w:szCs w:val="24"/>
        </w:rPr>
      </w:pPr>
    </w:p>
    <w:p w14:paraId="3C4FC1D6" w14:textId="44B64B02" w:rsidR="0044022A" w:rsidRPr="007B410E" w:rsidRDefault="0044022A">
      <w:pPr>
        <w:pStyle w:val="Titre3"/>
        <w:spacing w:before="0" w:after="0"/>
        <w:rPr>
          <w:rFonts w:ascii="Times New Roman" w:hAnsi="Times New Roman" w:cs="Times New Roman"/>
          <w:szCs w:val="24"/>
        </w:rPr>
      </w:pPr>
      <w:r w:rsidRPr="007B410E">
        <w:rPr>
          <w:rFonts w:ascii="Times New Roman" w:hAnsi="Times New Roman" w:cs="Times New Roman"/>
          <w:szCs w:val="24"/>
        </w:rPr>
        <w:t>SOUMISSION DE</w:t>
      </w:r>
      <w:r w:rsidR="00F920C4" w:rsidRPr="007B410E">
        <w:rPr>
          <w:rFonts w:ascii="Times New Roman" w:hAnsi="Times New Roman" w:cs="Times New Roman"/>
          <w:szCs w:val="24"/>
        </w:rPr>
        <w:t>S MANIFESTATIONS D’INTERÊT</w:t>
      </w:r>
    </w:p>
    <w:p w14:paraId="5ACBF207" w14:textId="77777777" w:rsidR="0044022A" w:rsidRPr="007B410E" w:rsidRDefault="0044022A">
      <w:pPr>
        <w:spacing w:before="0" w:after="0"/>
        <w:rPr>
          <w:szCs w:val="24"/>
        </w:rPr>
      </w:pPr>
    </w:p>
    <w:p w14:paraId="5D10D4BA" w14:textId="33A8B976" w:rsidR="0044022A" w:rsidRPr="007B410E" w:rsidRDefault="0044022A">
      <w:pPr>
        <w:spacing w:before="0" w:after="0"/>
        <w:rPr>
          <w:rStyle w:val="lev"/>
          <w:szCs w:val="24"/>
        </w:rPr>
      </w:pPr>
      <w:r w:rsidRPr="007B410E">
        <w:rPr>
          <w:rStyle w:val="lev"/>
          <w:szCs w:val="24"/>
        </w:rPr>
        <w:t xml:space="preserve">13. Date </w:t>
      </w:r>
      <w:r w:rsidR="00B6093F" w:rsidRPr="007B410E">
        <w:rPr>
          <w:rStyle w:val="lev"/>
          <w:szCs w:val="24"/>
        </w:rPr>
        <w:t xml:space="preserve">et heure </w:t>
      </w:r>
      <w:r w:rsidRPr="007B410E">
        <w:rPr>
          <w:rStyle w:val="lev"/>
          <w:szCs w:val="24"/>
        </w:rPr>
        <w:t>limite</w:t>
      </w:r>
      <w:r w:rsidR="00B6093F" w:rsidRPr="007B410E">
        <w:rPr>
          <w:rStyle w:val="lev"/>
          <w:szCs w:val="24"/>
        </w:rPr>
        <w:t>s</w:t>
      </w:r>
      <w:r w:rsidRPr="007B410E">
        <w:rPr>
          <w:rStyle w:val="lev"/>
          <w:szCs w:val="24"/>
        </w:rPr>
        <w:t xml:space="preserve"> de réception des </w:t>
      </w:r>
      <w:r w:rsidR="00EA47BE" w:rsidRPr="007B410E">
        <w:rPr>
          <w:rStyle w:val="lev"/>
          <w:szCs w:val="24"/>
        </w:rPr>
        <w:t>manifestations d’intérêt</w:t>
      </w:r>
    </w:p>
    <w:p w14:paraId="30F2817B" w14:textId="546D1BBF" w:rsidR="0044022A" w:rsidRPr="007B410E" w:rsidRDefault="0044022A" w:rsidP="00724B98">
      <w:pPr>
        <w:spacing w:after="0"/>
        <w:jc w:val="both"/>
        <w:rPr>
          <w:rStyle w:val="Accentuation"/>
          <w:i w:val="0"/>
          <w:szCs w:val="24"/>
        </w:rPr>
      </w:pPr>
      <w:r w:rsidRPr="007B410E">
        <w:rPr>
          <w:rStyle w:val="Accentuation"/>
          <w:i w:val="0"/>
          <w:szCs w:val="24"/>
        </w:rPr>
        <w:t xml:space="preserve">La date </w:t>
      </w:r>
      <w:r w:rsidR="00B6093F" w:rsidRPr="007B410E">
        <w:rPr>
          <w:rStyle w:val="Accentuation"/>
          <w:i w:val="0"/>
          <w:szCs w:val="24"/>
        </w:rPr>
        <w:t xml:space="preserve">et l’heure </w:t>
      </w:r>
      <w:r w:rsidRPr="007B410E">
        <w:rPr>
          <w:rStyle w:val="Accentuation"/>
          <w:i w:val="0"/>
          <w:szCs w:val="24"/>
        </w:rPr>
        <w:t>limite</w:t>
      </w:r>
      <w:r w:rsidR="00B6093F" w:rsidRPr="007B410E">
        <w:rPr>
          <w:rStyle w:val="Accentuation"/>
          <w:i w:val="0"/>
          <w:szCs w:val="24"/>
        </w:rPr>
        <w:t>s</w:t>
      </w:r>
      <w:r w:rsidRPr="007B410E">
        <w:rPr>
          <w:rStyle w:val="Accentuation"/>
          <w:i w:val="0"/>
          <w:szCs w:val="24"/>
        </w:rPr>
        <w:t xml:space="preserve"> pour la réception des </w:t>
      </w:r>
      <w:r w:rsidR="00EA47BE" w:rsidRPr="007B410E">
        <w:rPr>
          <w:rStyle w:val="Accentuation"/>
          <w:i w:val="0"/>
          <w:szCs w:val="24"/>
        </w:rPr>
        <w:t>manifestations d’intérêt</w:t>
      </w:r>
      <w:r w:rsidR="00EC1D6A" w:rsidRPr="007B410E">
        <w:rPr>
          <w:rStyle w:val="Accentuation"/>
          <w:i w:val="0"/>
          <w:szCs w:val="24"/>
        </w:rPr>
        <w:t xml:space="preserve"> </w:t>
      </w:r>
      <w:r w:rsidR="00EB6B1E" w:rsidRPr="007B410E">
        <w:rPr>
          <w:rStyle w:val="Accentuation"/>
          <w:i w:val="0"/>
          <w:szCs w:val="24"/>
        </w:rPr>
        <w:t xml:space="preserve">est le </w:t>
      </w:r>
      <w:r w:rsidR="00575B1C">
        <w:rPr>
          <w:rStyle w:val="Accentuation"/>
          <w:b/>
          <w:bCs/>
          <w:i w:val="0"/>
          <w:szCs w:val="24"/>
        </w:rPr>
        <w:t>Vendredi 31 Juillet</w:t>
      </w:r>
      <w:r w:rsidR="00575B1C" w:rsidRPr="007B410E">
        <w:rPr>
          <w:rStyle w:val="Accentuation"/>
          <w:b/>
          <w:bCs/>
          <w:i w:val="0"/>
          <w:szCs w:val="24"/>
        </w:rPr>
        <w:t xml:space="preserve"> </w:t>
      </w:r>
      <w:r w:rsidR="00D637EF" w:rsidRPr="007B410E">
        <w:rPr>
          <w:rStyle w:val="Accentuation"/>
          <w:b/>
          <w:bCs/>
          <w:i w:val="0"/>
          <w:szCs w:val="24"/>
        </w:rPr>
        <w:t>2026</w:t>
      </w:r>
      <w:r w:rsidR="00B6093F" w:rsidRPr="007B410E">
        <w:rPr>
          <w:rStyle w:val="Accentuation"/>
          <w:i w:val="0"/>
          <w:szCs w:val="24"/>
        </w:rPr>
        <w:t xml:space="preserve"> à </w:t>
      </w:r>
      <w:r w:rsidR="00B6093F" w:rsidRPr="007B410E">
        <w:rPr>
          <w:rStyle w:val="Accentuation"/>
          <w:b/>
          <w:bCs/>
          <w:i w:val="0"/>
          <w:szCs w:val="24"/>
        </w:rPr>
        <w:t xml:space="preserve">10heures </w:t>
      </w:r>
      <w:r w:rsidR="00EB6B1E" w:rsidRPr="007B410E">
        <w:rPr>
          <w:rStyle w:val="Accentuation"/>
          <w:b/>
          <w:bCs/>
          <w:i w:val="0"/>
          <w:szCs w:val="24"/>
        </w:rPr>
        <w:t xml:space="preserve">00 minutes </w:t>
      </w:r>
      <w:r w:rsidR="00B6093F" w:rsidRPr="007B410E">
        <w:rPr>
          <w:rStyle w:val="Accentuation"/>
          <w:b/>
          <w:bCs/>
          <w:i w:val="0"/>
          <w:szCs w:val="24"/>
        </w:rPr>
        <w:t>GMT</w:t>
      </w:r>
      <w:r w:rsidR="00EB6B1E" w:rsidRPr="007B410E">
        <w:rPr>
          <w:rStyle w:val="Accentuation"/>
          <w:b/>
          <w:bCs/>
          <w:i w:val="0"/>
          <w:szCs w:val="24"/>
        </w:rPr>
        <w:t>.</w:t>
      </w:r>
    </w:p>
    <w:p w14:paraId="625E0946" w14:textId="77777777" w:rsidR="0044022A" w:rsidRPr="007B410E" w:rsidRDefault="0044022A">
      <w:pPr>
        <w:spacing w:before="0" w:after="0"/>
        <w:jc w:val="both"/>
        <w:rPr>
          <w:szCs w:val="24"/>
        </w:rPr>
      </w:pPr>
    </w:p>
    <w:p w14:paraId="4C96A81B" w14:textId="7243E371" w:rsidR="0044022A" w:rsidRPr="007B410E" w:rsidRDefault="0044022A">
      <w:pPr>
        <w:spacing w:before="0" w:after="0"/>
        <w:rPr>
          <w:rStyle w:val="lev"/>
          <w:szCs w:val="24"/>
        </w:rPr>
      </w:pPr>
      <w:r w:rsidRPr="007B410E">
        <w:rPr>
          <w:rStyle w:val="lev"/>
          <w:szCs w:val="24"/>
        </w:rPr>
        <w:t xml:space="preserve">14. Modalités de présentation des </w:t>
      </w:r>
      <w:r w:rsidR="00EA47BE" w:rsidRPr="007B410E">
        <w:rPr>
          <w:rStyle w:val="lev"/>
          <w:szCs w:val="24"/>
        </w:rPr>
        <w:t>manifestations d’intérêt</w:t>
      </w:r>
      <w:r w:rsidRPr="007B410E">
        <w:rPr>
          <w:rStyle w:val="lev"/>
          <w:szCs w:val="24"/>
        </w:rPr>
        <w:t xml:space="preserve"> et renseignements à fournir</w:t>
      </w:r>
    </w:p>
    <w:p w14:paraId="29648AC7" w14:textId="486BFE82" w:rsidR="0044022A" w:rsidRPr="007B410E" w:rsidRDefault="0044022A" w:rsidP="00724B98">
      <w:pPr>
        <w:pStyle w:val="Blockquote"/>
        <w:spacing w:after="0"/>
        <w:ind w:left="0" w:right="0"/>
        <w:jc w:val="both"/>
        <w:rPr>
          <w:szCs w:val="24"/>
        </w:rPr>
      </w:pPr>
      <w:r w:rsidRPr="007B410E">
        <w:rPr>
          <w:szCs w:val="24"/>
        </w:rPr>
        <w:t xml:space="preserve">Les </w:t>
      </w:r>
      <w:r w:rsidR="00EA47BE" w:rsidRPr="007B410E">
        <w:rPr>
          <w:szCs w:val="24"/>
        </w:rPr>
        <w:t>manifestations d’intérêt</w:t>
      </w:r>
      <w:r w:rsidRPr="007B410E">
        <w:rPr>
          <w:szCs w:val="24"/>
        </w:rPr>
        <w:t xml:space="preserve"> doivent être rédigées uniquement au moyen du formulaire de soumission standard disponible </w:t>
      </w:r>
      <w:r w:rsidR="008D3388" w:rsidRPr="007B410E">
        <w:rPr>
          <w:szCs w:val="24"/>
        </w:rPr>
        <w:t>auprès de l’autorité contractante.</w:t>
      </w:r>
      <w:r w:rsidRPr="007B410E">
        <w:rPr>
          <w:color w:val="FF0000"/>
          <w:szCs w:val="24"/>
        </w:rPr>
        <w:t xml:space="preserve"> </w:t>
      </w:r>
      <w:r w:rsidR="008D3388" w:rsidRPr="007B410E">
        <w:rPr>
          <w:szCs w:val="24"/>
        </w:rPr>
        <w:t>L</w:t>
      </w:r>
      <w:r w:rsidRPr="007B410E">
        <w:rPr>
          <w:szCs w:val="24"/>
        </w:rPr>
        <w:t>e modèle et les dispositions doivent être strictement respectés. Tout document supplémentaire (brochure, lettre, etc.) joint à l'offre ne sera pas pris en considération.</w:t>
      </w:r>
    </w:p>
    <w:p w14:paraId="112CB0FD" w14:textId="77777777" w:rsidR="0044022A" w:rsidRPr="007B410E" w:rsidRDefault="0044022A">
      <w:pPr>
        <w:pStyle w:val="Blockquote"/>
        <w:spacing w:before="0" w:after="0"/>
        <w:ind w:left="0" w:right="0"/>
        <w:jc w:val="both"/>
        <w:rPr>
          <w:szCs w:val="24"/>
        </w:rPr>
      </w:pPr>
    </w:p>
    <w:p w14:paraId="7A8E9254" w14:textId="2F93ACFA" w:rsidR="0044022A" w:rsidRPr="007B410E" w:rsidRDefault="0044022A" w:rsidP="00724B98">
      <w:pPr>
        <w:spacing w:before="0"/>
        <w:rPr>
          <w:rStyle w:val="lev"/>
          <w:szCs w:val="24"/>
        </w:rPr>
      </w:pPr>
      <w:r w:rsidRPr="007B410E">
        <w:rPr>
          <w:rStyle w:val="lev"/>
          <w:szCs w:val="24"/>
        </w:rPr>
        <w:t xml:space="preserve">15. Modalités d'envoi des </w:t>
      </w:r>
      <w:r w:rsidR="00EA47BE" w:rsidRPr="007B410E">
        <w:rPr>
          <w:rStyle w:val="lev"/>
          <w:szCs w:val="24"/>
        </w:rPr>
        <w:t>manifestations d’intérêt</w:t>
      </w:r>
    </w:p>
    <w:p w14:paraId="2827F364" w14:textId="11DF7063" w:rsidR="0036326F" w:rsidRPr="007B410E" w:rsidRDefault="0036326F" w:rsidP="00F266F8">
      <w:pPr>
        <w:pStyle w:val="Paragraphedeliste"/>
        <w:ind w:left="0"/>
        <w:jc w:val="both"/>
        <w:rPr>
          <w:szCs w:val="24"/>
          <w:lang w:eastAsia="x-none"/>
        </w:rPr>
      </w:pPr>
      <w:r w:rsidRPr="007B410E">
        <w:rPr>
          <w:szCs w:val="24"/>
          <w:lang w:eastAsia="x-none"/>
        </w:rPr>
        <w:lastRenderedPageBreak/>
        <w:t xml:space="preserve">Les candidats intéressés peuvent solliciter et obtenir des informations complémentaires sur la mission, </w:t>
      </w:r>
      <w:bookmarkStart w:id="7" w:name="_Hlk123707698"/>
      <w:r w:rsidRPr="007B410E">
        <w:rPr>
          <w:szCs w:val="24"/>
          <w:lang w:eastAsia="x-none"/>
        </w:rPr>
        <w:t xml:space="preserve">de lundi à vendredi de 08h30 à 12h00 et de 15h00 à 16h30 GMT, auprès de l’Autorité contractante, par mail à l’adresse </w:t>
      </w:r>
      <w:hyperlink r:id="rId12" w:history="1">
        <w:r w:rsidR="00923CC4" w:rsidRPr="007B410E">
          <w:rPr>
            <w:rStyle w:val="Lienhypertexte"/>
            <w:b/>
            <w:bCs/>
            <w:szCs w:val="24"/>
            <w:u w:val="none"/>
          </w:rPr>
          <w:t>passation_marches@at2er.tg</w:t>
        </w:r>
      </w:hyperlink>
      <w:r w:rsidR="007A06C5" w:rsidRPr="007B410E">
        <w:rPr>
          <w:rStyle w:val="Lienhypertexte"/>
          <w:szCs w:val="24"/>
          <w:u w:val="none"/>
        </w:rPr>
        <w:t xml:space="preserve"> </w:t>
      </w:r>
      <w:r w:rsidRPr="007B410E">
        <w:rPr>
          <w:rStyle w:val="Lienhypertexte"/>
          <w:color w:val="000000" w:themeColor="text1"/>
          <w:szCs w:val="24"/>
          <w:u w:val="none"/>
        </w:rPr>
        <w:t>avec en copie</w:t>
      </w:r>
      <w:bookmarkEnd w:id="7"/>
      <w:r w:rsidR="00465404" w:rsidRPr="007B410E">
        <w:rPr>
          <w:rStyle w:val="Lienhypertexte"/>
          <w:color w:val="000000" w:themeColor="text1"/>
          <w:szCs w:val="24"/>
          <w:u w:val="none"/>
        </w:rPr>
        <w:t xml:space="preserve"> </w:t>
      </w:r>
      <w:hyperlink r:id="rId13" w:history="1">
        <w:r w:rsidR="003966BA" w:rsidRPr="007B410E">
          <w:rPr>
            <w:rStyle w:val="Lienhypertexte"/>
            <w:b/>
            <w:bCs/>
            <w:u w:val="none"/>
          </w:rPr>
          <w:t>awandjelo_solarpv@at2er.tg</w:t>
        </w:r>
      </w:hyperlink>
      <w:r w:rsidR="00D637EF" w:rsidRPr="007B410E">
        <w:rPr>
          <w:rStyle w:val="Lienhypertexte"/>
          <w:color w:val="000000" w:themeColor="text1"/>
          <w:szCs w:val="24"/>
          <w:u w:val="none"/>
        </w:rPr>
        <w:t>.</w:t>
      </w:r>
    </w:p>
    <w:p w14:paraId="1FB103EB" w14:textId="77777777" w:rsidR="0036326F" w:rsidRPr="007B410E" w:rsidRDefault="0036326F" w:rsidP="0036326F">
      <w:pPr>
        <w:spacing w:before="0" w:after="0"/>
        <w:rPr>
          <w:rStyle w:val="lev"/>
          <w:szCs w:val="24"/>
        </w:rPr>
      </w:pPr>
    </w:p>
    <w:p w14:paraId="64F017E0" w14:textId="019F71D6" w:rsidR="0036326F" w:rsidRPr="007B410E" w:rsidRDefault="0036326F" w:rsidP="000B0755">
      <w:pPr>
        <w:pStyle w:val="Paragraphedeliste"/>
        <w:spacing w:after="240"/>
        <w:ind w:left="0"/>
        <w:jc w:val="both"/>
        <w:rPr>
          <w:color w:val="FF0000"/>
          <w:szCs w:val="24"/>
        </w:rPr>
      </w:pPr>
      <w:r w:rsidRPr="007B410E">
        <w:rPr>
          <w:szCs w:val="24"/>
        </w:rPr>
        <w:t>Les</w:t>
      </w:r>
      <w:r w:rsidRPr="007B410E">
        <w:rPr>
          <w:szCs w:val="24"/>
          <w:lang w:eastAsia="x-none"/>
        </w:rPr>
        <w:t xml:space="preserve"> candidats intéressés par le présent appel à manifestations d’intérêt sont invités à </w:t>
      </w:r>
      <w:r w:rsidR="00DB6CAC" w:rsidRPr="007B410E">
        <w:rPr>
          <w:szCs w:val="24"/>
          <w:lang w:eastAsia="x-none"/>
        </w:rPr>
        <w:t>déposer</w:t>
      </w:r>
      <w:r w:rsidRPr="007B410E">
        <w:rPr>
          <w:szCs w:val="24"/>
          <w:lang w:eastAsia="x-none"/>
        </w:rPr>
        <w:t xml:space="preserve"> leurs dossiers, </w:t>
      </w:r>
      <w:r w:rsidR="00DB6CAC" w:rsidRPr="007B410E">
        <w:rPr>
          <w:szCs w:val="24"/>
          <w:lang w:eastAsia="x-none"/>
        </w:rPr>
        <w:t xml:space="preserve">en quatre exemplaires (un original et 3 copies) </w:t>
      </w:r>
      <w:r w:rsidRPr="007B410E">
        <w:rPr>
          <w:szCs w:val="24"/>
          <w:lang w:eastAsia="x-none"/>
        </w:rPr>
        <w:t>en français,</w:t>
      </w:r>
      <w:r w:rsidR="00510FD8" w:rsidRPr="007B410E">
        <w:rPr>
          <w:szCs w:val="24"/>
          <w:lang w:eastAsia="x-none"/>
        </w:rPr>
        <w:t xml:space="preserve"> au plus tard le</w:t>
      </w:r>
      <w:r w:rsidR="00510FD8" w:rsidRPr="007B410E">
        <w:rPr>
          <w:b/>
          <w:color w:val="FF0000"/>
          <w:szCs w:val="24"/>
        </w:rPr>
        <w:t xml:space="preserve"> </w:t>
      </w:r>
      <w:r w:rsidR="001D4D54" w:rsidRPr="007B410E">
        <w:rPr>
          <w:b/>
          <w:szCs w:val="24"/>
        </w:rPr>
        <w:t xml:space="preserve">Vendredi </w:t>
      </w:r>
      <w:r w:rsidR="00843BD4" w:rsidRPr="004D24DB">
        <w:rPr>
          <w:b/>
          <w:bCs/>
          <w:szCs w:val="24"/>
        </w:rPr>
        <w:t>31 Juillet 2026 </w:t>
      </w:r>
      <w:r w:rsidR="00510FD8" w:rsidRPr="007B410E">
        <w:rPr>
          <w:b/>
          <w:szCs w:val="24"/>
        </w:rPr>
        <w:t xml:space="preserve"> </w:t>
      </w:r>
      <w:r w:rsidR="00510FD8" w:rsidRPr="007B410E">
        <w:rPr>
          <w:szCs w:val="24"/>
        </w:rPr>
        <w:t>à</w:t>
      </w:r>
      <w:r w:rsidR="00510FD8" w:rsidRPr="007B410E">
        <w:rPr>
          <w:b/>
          <w:szCs w:val="24"/>
        </w:rPr>
        <w:t xml:space="preserve"> </w:t>
      </w:r>
      <w:r w:rsidR="00510FD8" w:rsidRPr="007B410E">
        <w:rPr>
          <w:b/>
          <w:iCs/>
          <w:szCs w:val="24"/>
        </w:rPr>
        <w:t>10</w:t>
      </w:r>
      <w:r w:rsidR="00DA434B" w:rsidRPr="007B410E">
        <w:rPr>
          <w:b/>
          <w:iCs/>
          <w:szCs w:val="24"/>
        </w:rPr>
        <w:t xml:space="preserve"> heures </w:t>
      </w:r>
      <w:r w:rsidR="00510FD8" w:rsidRPr="007B410E">
        <w:rPr>
          <w:b/>
          <w:iCs/>
          <w:szCs w:val="24"/>
        </w:rPr>
        <w:t>00</w:t>
      </w:r>
      <w:r w:rsidR="00DA434B" w:rsidRPr="007B410E">
        <w:rPr>
          <w:b/>
          <w:iCs/>
          <w:szCs w:val="24"/>
        </w:rPr>
        <w:t xml:space="preserve"> </w:t>
      </w:r>
      <w:r w:rsidR="00510FD8" w:rsidRPr="007B410E">
        <w:rPr>
          <w:b/>
          <w:iCs/>
          <w:szCs w:val="24"/>
        </w:rPr>
        <w:t>min</w:t>
      </w:r>
      <w:r w:rsidR="00DA434B" w:rsidRPr="007B410E">
        <w:rPr>
          <w:b/>
          <w:iCs/>
          <w:szCs w:val="24"/>
        </w:rPr>
        <w:t>utes</w:t>
      </w:r>
      <w:r w:rsidR="00510FD8" w:rsidRPr="007B410E">
        <w:rPr>
          <w:b/>
          <w:iCs/>
          <w:szCs w:val="24"/>
        </w:rPr>
        <w:t xml:space="preserve"> GMT</w:t>
      </w:r>
      <w:r w:rsidR="00510FD8" w:rsidRPr="007B410E">
        <w:rPr>
          <w:color w:val="FF0000"/>
          <w:szCs w:val="24"/>
        </w:rPr>
        <w:t xml:space="preserve"> </w:t>
      </w:r>
      <w:r w:rsidR="00510FD8" w:rsidRPr="007B410E">
        <w:rPr>
          <w:color w:val="000000" w:themeColor="text1"/>
          <w:szCs w:val="24"/>
        </w:rPr>
        <w:t>à l’adresse ci-dessous</w:t>
      </w:r>
      <w:r w:rsidRPr="007B410E">
        <w:rPr>
          <w:szCs w:val="24"/>
          <w:lang w:eastAsia="x-none"/>
        </w:rPr>
        <w:t xml:space="preserve"> en précisant l’objet</w:t>
      </w:r>
      <w:r w:rsidR="00510FD8" w:rsidRPr="007B410E">
        <w:rPr>
          <w:szCs w:val="24"/>
          <w:lang w:eastAsia="x-none"/>
        </w:rPr>
        <w:t> :</w:t>
      </w:r>
      <w:r w:rsidR="000B0755" w:rsidRPr="007B410E">
        <w:rPr>
          <w:szCs w:val="24"/>
          <w:lang w:eastAsia="x-none"/>
        </w:rPr>
        <w:t xml:space="preserve"> </w:t>
      </w:r>
      <w:r w:rsidR="00B6093F" w:rsidRPr="007B410E">
        <w:rPr>
          <w:szCs w:val="24"/>
          <w:lang w:eastAsia="x-none"/>
        </w:rPr>
        <w:t>«</w:t>
      </w:r>
      <w:r w:rsidR="00B6093F" w:rsidRPr="007B410E">
        <w:rPr>
          <w:b/>
          <w:bCs/>
          <w:szCs w:val="24"/>
          <w:lang w:eastAsia="x-none"/>
        </w:rPr>
        <w:t xml:space="preserve"> </w:t>
      </w:r>
      <w:r w:rsidR="00B6093F" w:rsidRPr="007B410E">
        <w:rPr>
          <w:i/>
          <w:iCs/>
          <w:szCs w:val="24"/>
          <w:lang w:eastAsia="x-none"/>
        </w:rPr>
        <w:t>Réponse</w:t>
      </w:r>
      <w:r w:rsidRPr="007B410E">
        <w:rPr>
          <w:i/>
          <w:iCs/>
          <w:szCs w:val="24"/>
          <w:lang w:eastAsia="x-none"/>
        </w:rPr>
        <w:t xml:space="preserve"> à l’avis d’appel à manifestations d’intérêt</w:t>
      </w:r>
      <w:r w:rsidR="00B6093F" w:rsidRPr="007B410E">
        <w:rPr>
          <w:i/>
          <w:iCs/>
          <w:szCs w:val="24"/>
          <w:lang w:eastAsia="x-none"/>
        </w:rPr>
        <w:t xml:space="preserve"> international</w:t>
      </w:r>
      <w:r w:rsidRPr="007B410E">
        <w:rPr>
          <w:i/>
          <w:iCs/>
          <w:szCs w:val="24"/>
          <w:lang w:eastAsia="x-none"/>
        </w:rPr>
        <w:t xml:space="preserve"> – </w:t>
      </w:r>
      <w:r w:rsidRPr="007B410E">
        <w:rPr>
          <w:b/>
          <w:bCs/>
          <w:i/>
          <w:iCs/>
          <w:color w:val="000000"/>
          <w:szCs w:val="24"/>
          <w:lang w:eastAsia="x-none"/>
        </w:rPr>
        <w:t>AMI</w:t>
      </w:r>
      <w:r w:rsidR="00B3645E" w:rsidRPr="007B410E">
        <w:rPr>
          <w:b/>
          <w:bCs/>
          <w:i/>
          <w:iCs/>
          <w:color w:val="000000"/>
          <w:szCs w:val="24"/>
          <w:lang w:eastAsia="x-none"/>
        </w:rPr>
        <w:t>I</w:t>
      </w:r>
      <w:r w:rsidR="00FE3C8F" w:rsidRPr="007B410E">
        <w:rPr>
          <w:b/>
          <w:bCs/>
          <w:i/>
          <w:iCs/>
          <w:color w:val="000000"/>
          <w:szCs w:val="24"/>
          <w:lang w:eastAsia="x-none"/>
        </w:rPr>
        <w:t xml:space="preserve"> N°</w:t>
      </w:r>
      <w:r w:rsidR="00FA70B6" w:rsidRPr="007B410E">
        <w:rPr>
          <w:b/>
          <w:bCs/>
          <w:i/>
          <w:iCs/>
          <w:color w:val="000000"/>
          <w:szCs w:val="24"/>
          <w:lang w:eastAsia="x-none"/>
        </w:rPr>
        <w:t>006</w:t>
      </w:r>
      <w:r w:rsidRPr="007B410E">
        <w:rPr>
          <w:b/>
          <w:bCs/>
          <w:i/>
          <w:iCs/>
          <w:color w:val="000000"/>
          <w:szCs w:val="24"/>
          <w:lang w:eastAsia="x-none"/>
        </w:rPr>
        <w:t>/AT2ER</w:t>
      </w:r>
      <w:r w:rsidR="00DB0E08" w:rsidRPr="007B410E">
        <w:rPr>
          <w:b/>
          <w:bCs/>
          <w:i/>
          <w:iCs/>
          <w:color w:val="000000"/>
          <w:szCs w:val="24"/>
          <w:lang w:eastAsia="x-none"/>
        </w:rPr>
        <w:t>/</w:t>
      </w:r>
      <w:r w:rsidR="00022770" w:rsidRPr="00022770">
        <w:rPr>
          <w:bCs/>
          <w:sz w:val="28"/>
          <w:szCs w:val="22"/>
          <w:lang w:eastAsia="ar-SA"/>
        </w:rPr>
        <w:t xml:space="preserve"> </w:t>
      </w:r>
      <w:r w:rsidR="00022770" w:rsidRPr="00022770">
        <w:rPr>
          <w:b/>
          <w:bCs/>
          <w:i/>
          <w:iCs/>
          <w:color w:val="000000"/>
          <w:szCs w:val="24"/>
          <w:lang w:eastAsia="x-none"/>
        </w:rPr>
        <w:t>CENTRALE</w:t>
      </w:r>
      <w:r w:rsidR="000E23A3">
        <w:rPr>
          <w:b/>
          <w:bCs/>
          <w:i/>
          <w:iCs/>
          <w:color w:val="000000"/>
          <w:szCs w:val="24"/>
          <w:lang w:eastAsia="x-none"/>
        </w:rPr>
        <w:t>-</w:t>
      </w:r>
      <w:r w:rsidR="00022770" w:rsidRPr="00022770">
        <w:rPr>
          <w:b/>
          <w:bCs/>
          <w:i/>
          <w:iCs/>
          <w:color w:val="000000"/>
          <w:szCs w:val="24"/>
          <w:lang w:eastAsia="x-none"/>
        </w:rPr>
        <w:t>AWANDJELO</w:t>
      </w:r>
      <w:r w:rsidR="00022770">
        <w:rPr>
          <w:b/>
          <w:bCs/>
          <w:i/>
          <w:iCs/>
          <w:color w:val="000000"/>
          <w:szCs w:val="24"/>
          <w:lang w:eastAsia="x-none"/>
        </w:rPr>
        <w:t>/</w:t>
      </w:r>
      <w:r w:rsidRPr="007B410E">
        <w:rPr>
          <w:b/>
          <w:bCs/>
          <w:i/>
          <w:iCs/>
          <w:color w:val="000000"/>
          <w:szCs w:val="24"/>
          <w:lang w:eastAsia="x-none"/>
        </w:rPr>
        <w:t>PRMP/202</w:t>
      </w:r>
      <w:r w:rsidR="00465404" w:rsidRPr="007B410E">
        <w:rPr>
          <w:b/>
          <w:bCs/>
          <w:i/>
          <w:iCs/>
          <w:color w:val="000000"/>
          <w:szCs w:val="24"/>
          <w:lang w:eastAsia="x-none"/>
        </w:rPr>
        <w:t>6</w:t>
      </w:r>
      <w:r w:rsidRPr="007B410E">
        <w:rPr>
          <w:color w:val="000000"/>
          <w:szCs w:val="24"/>
          <w:lang w:eastAsia="x-none"/>
        </w:rPr>
        <w:t xml:space="preserve"> </w:t>
      </w:r>
      <w:r w:rsidRPr="007B410E">
        <w:rPr>
          <w:b/>
          <w:bCs/>
          <w:color w:val="000000"/>
          <w:szCs w:val="24"/>
          <w:lang w:eastAsia="x-none"/>
        </w:rPr>
        <w:t>–</w:t>
      </w:r>
      <w:r w:rsidRPr="007B410E">
        <w:rPr>
          <w:color w:val="000000"/>
          <w:szCs w:val="24"/>
          <w:lang w:eastAsia="x-none"/>
        </w:rPr>
        <w:t xml:space="preserve"> </w:t>
      </w:r>
      <w:r w:rsidR="00EB3469" w:rsidRPr="007B410E">
        <w:rPr>
          <w:b/>
          <w:bCs/>
          <w:i/>
          <w:iCs/>
          <w:color w:val="000000"/>
          <w:szCs w:val="24"/>
          <w:lang w:eastAsia="x-none"/>
        </w:rPr>
        <w:t xml:space="preserve">Recrutement d’un </w:t>
      </w:r>
      <w:r w:rsidR="00317B38" w:rsidRPr="007B410E">
        <w:rPr>
          <w:b/>
          <w:bCs/>
          <w:i/>
          <w:iCs/>
          <w:color w:val="000000"/>
          <w:szCs w:val="24"/>
          <w:lang w:eastAsia="x-none"/>
        </w:rPr>
        <w:t>consultant</w:t>
      </w:r>
      <w:r w:rsidR="00EB3469" w:rsidRPr="007B410E">
        <w:rPr>
          <w:b/>
          <w:bCs/>
          <w:i/>
          <w:iCs/>
          <w:color w:val="000000"/>
          <w:szCs w:val="24"/>
          <w:lang w:eastAsia="x-none"/>
        </w:rPr>
        <w:t xml:space="preserve"> chargé du </w:t>
      </w:r>
      <w:r w:rsidRPr="007B410E">
        <w:rPr>
          <w:b/>
          <w:bCs/>
          <w:i/>
          <w:iCs/>
          <w:color w:val="000000"/>
          <w:szCs w:val="24"/>
          <w:lang w:eastAsia="x-none"/>
        </w:rPr>
        <w:t xml:space="preserve">Contrôle et </w:t>
      </w:r>
      <w:r w:rsidR="00EB3469" w:rsidRPr="007B410E">
        <w:rPr>
          <w:b/>
          <w:bCs/>
          <w:i/>
          <w:iCs/>
          <w:color w:val="000000"/>
          <w:szCs w:val="24"/>
          <w:lang w:eastAsia="x-none"/>
        </w:rPr>
        <w:t xml:space="preserve">de la </w:t>
      </w:r>
      <w:r w:rsidRPr="007B410E">
        <w:rPr>
          <w:b/>
          <w:bCs/>
          <w:i/>
          <w:iCs/>
          <w:color w:val="000000"/>
          <w:szCs w:val="24"/>
          <w:lang w:eastAsia="x-none"/>
        </w:rPr>
        <w:t xml:space="preserve">supervision </w:t>
      </w:r>
      <w:r w:rsidR="00D232E9" w:rsidRPr="007B410E">
        <w:rPr>
          <w:b/>
          <w:bCs/>
          <w:i/>
          <w:iCs/>
          <w:color w:val="000000"/>
          <w:szCs w:val="24"/>
          <w:lang w:eastAsia="x-none"/>
        </w:rPr>
        <w:t xml:space="preserve">des travaux </w:t>
      </w:r>
      <w:r w:rsidR="00465404" w:rsidRPr="007B410E">
        <w:rPr>
          <w:b/>
          <w:bCs/>
          <w:i/>
          <w:iCs/>
          <w:color w:val="000000"/>
          <w:szCs w:val="24"/>
          <w:lang w:eastAsia="x-none"/>
        </w:rPr>
        <w:t>de Construction d’une Centrale Solaire Photovoltaïque de 42 MWc à Awandjelo en République Togolaise</w:t>
      </w:r>
      <w:r w:rsidR="00C04F5C" w:rsidRPr="007B410E">
        <w:rPr>
          <w:b/>
          <w:bCs/>
          <w:i/>
          <w:iCs/>
          <w:color w:val="000000"/>
          <w:szCs w:val="24"/>
          <w:lang w:eastAsia="x-none"/>
        </w:rPr>
        <w:t xml:space="preserve"> </w:t>
      </w:r>
      <w:r w:rsidRPr="007B410E">
        <w:rPr>
          <w:b/>
          <w:bCs/>
          <w:color w:val="000000"/>
          <w:szCs w:val="24"/>
          <w:lang w:eastAsia="x-none"/>
        </w:rPr>
        <w:t>»</w:t>
      </w:r>
      <w:r w:rsidR="000B0755" w:rsidRPr="007B410E">
        <w:rPr>
          <w:b/>
          <w:bCs/>
          <w:color w:val="000000"/>
          <w:szCs w:val="24"/>
          <w:lang w:eastAsia="x-none"/>
        </w:rPr>
        <w:t xml:space="preserve"> </w:t>
      </w:r>
      <w:r w:rsidRPr="007B410E">
        <w:rPr>
          <w:color w:val="000000" w:themeColor="text1"/>
          <w:szCs w:val="24"/>
        </w:rPr>
        <w:t>:</w:t>
      </w:r>
    </w:p>
    <w:p w14:paraId="0A67D11C" w14:textId="77777777" w:rsidR="0036326F" w:rsidRPr="007B410E" w:rsidRDefault="0036326F" w:rsidP="0036326F">
      <w:pPr>
        <w:pStyle w:val="Paragraphedeliste"/>
        <w:ind w:left="284" w:firstLine="850"/>
        <w:rPr>
          <w:b/>
          <w:i/>
          <w:szCs w:val="24"/>
        </w:rPr>
      </w:pPr>
      <w:r w:rsidRPr="007B410E">
        <w:rPr>
          <w:b/>
          <w:i/>
          <w:szCs w:val="24"/>
        </w:rPr>
        <w:t>Agence Togolaise d’Electrification Rurale et des Energies Renouvelables</w:t>
      </w:r>
    </w:p>
    <w:p w14:paraId="4BCDE874" w14:textId="3DC6DFAF" w:rsidR="0036326F" w:rsidRPr="007B410E" w:rsidRDefault="0036326F" w:rsidP="00C02A87">
      <w:pPr>
        <w:pStyle w:val="Paragraphedeliste"/>
        <w:ind w:left="284" w:firstLine="850"/>
        <w:rPr>
          <w:b/>
          <w:i/>
          <w:szCs w:val="24"/>
        </w:rPr>
      </w:pPr>
      <w:r w:rsidRPr="007B410E">
        <w:rPr>
          <w:b/>
          <w:i/>
          <w:szCs w:val="24"/>
        </w:rPr>
        <w:t>503 rue de la Binah, 14 BP 128 Lomé-Togo, Tel : +228 22 21 21 44</w:t>
      </w:r>
      <w:r w:rsidR="00216F07" w:rsidRPr="007B410E">
        <w:rPr>
          <w:b/>
          <w:i/>
          <w:szCs w:val="24"/>
        </w:rPr>
        <w:t>.</w:t>
      </w:r>
    </w:p>
    <w:p w14:paraId="1FED3F61" w14:textId="77777777" w:rsidR="00141C62" w:rsidRPr="007B410E" w:rsidRDefault="00141C62" w:rsidP="00C02A87">
      <w:pPr>
        <w:pStyle w:val="Paragraphedeliste"/>
        <w:ind w:left="284" w:firstLine="850"/>
        <w:rPr>
          <w:b/>
          <w:i/>
          <w:szCs w:val="24"/>
        </w:rPr>
      </w:pPr>
    </w:p>
    <w:p w14:paraId="492791BD" w14:textId="5CDEE134" w:rsidR="0066621B" w:rsidRPr="007B410E" w:rsidRDefault="00F043F8" w:rsidP="007B410E">
      <w:pPr>
        <w:pStyle w:val="Paragraphedeliste"/>
        <w:ind w:left="0"/>
        <w:jc w:val="both"/>
        <w:rPr>
          <w:bCs/>
          <w:iCs/>
          <w:szCs w:val="24"/>
        </w:rPr>
      </w:pPr>
      <w:r w:rsidRPr="007B410E">
        <w:rPr>
          <w:bCs/>
          <w:iCs/>
          <w:szCs w:val="24"/>
        </w:rPr>
        <w:t>Ou</w:t>
      </w:r>
      <w:r w:rsidR="00141C62" w:rsidRPr="007B410E">
        <w:rPr>
          <w:bCs/>
          <w:iCs/>
          <w:szCs w:val="24"/>
        </w:rPr>
        <w:t xml:space="preserve"> par voie électronique au mail : </w:t>
      </w:r>
      <w:hyperlink r:id="rId14" w:history="1">
        <w:r w:rsidR="00923CC4" w:rsidRPr="007B410E">
          <w:rPr>
            <w:rStyle w:val="Lienhypertexte"/>
            <w:b/>
            <w:bCs/>
            <w:szCs w:val="24"/>
            <w:u w:val="none"/>
          </w:rPr>
          <w:t>passation_marches@at2er.tg</w:t>
        </w:r>
      </w:hyperlink>
      <w:r w:rsidR="00141C62" w:rsidRPr="007B410E">
        <w:rPr>
          <w:rStyle w:val="Lienhypertexte"/>
          <w:b/>
          <w:bCs/>
          <w:szCs w:val="24"/>
          <w:u w:val="none"/>
        </w:rPr>
        <w:t xml:space="preserve"> </w:t>
      </w:r>
      <w:r w:rsidR="00141C62" w:rsidRPr="007B410E">
        <w:rPr>
          <w:rStyle w:val="Lienhypertexte"/>
          <w:color w:val="000000" w:themeColor="text1"/>
          <w:szCs w:val="24"/>
          <w:u w:val="none"/>
        </w:rPr>
        <w:t>avec en copie</w:t>
      </w:r>
      <w:r w:rsidR="00141C62" w:rsidRPr="007B410E">
        <w:rPr>
          <w:rStyle w:val="Lienhypertexte"/>
          <w:b/>
          <w:bCs/>
          <w:color w:val="000000" w:themeColor="text1"/>
          <w:szCs w:val="24"/>
          <w:u w:val="none"/>
        </w:rPr>
        <w:t xml:space="preserve"> </w:t>
      </w:r>
      <w:hyperlink r:id="rId15" w:history="1">
        <w:r w:rsidR="00022770" w:rsidRPr="007B410E">
          <w:rPr>
            <w:rStyle w:val="Lienhypertexte"/>
            <w:b/>
            <w:bCs/>
            <w:szCs w:val="24"/>
          </w:rPr>
          <w:t>a</w:t>
        </w:r>
        <w:r w:rsidR="00022770" w:rsidRPr="007B410E">
          <w:rPr>
            <w:rStyle w:val="Lienhypertexte"/>
            <w:b/>
            <w:bCs/>
          </w:rPr>
          <w:t>wandjelo_solarpv@at2er.tg</w:t>
        </w:r>
      </w:hyperlink>
      <w:r w:rsidR="0036789D" w:rsidRPr="007B410E">
        <w:rPr>
          <w:rStyle w:val="Lienhypertexte"/>
          <w:color w:val="000000" w:themeColor="text1"/>
          <w:szCs w:val="24"/>
          <w:u w:val="none"/>
        </w:rPr>
        <w:t>.</w:t>
      </w:r>
    </w:p>
    <w:p w14:paraId="355B7658" w14:textId="6D726626" w:rsidR="0036326F" w:rsidRPr="007B410E" w:rsidRDefault="00DB6CAC" w:rsidP="00216F07">
      <w:pPr>
        <w:widowControl/>
        <w:jc w:val="both"/>
        <w:rPr>
          <w:szCs w:val="24"/>
          <w:lang w:eastAsia="fr-FR"/>
        </w:rPr>
      </w:pPr>
      <w:r w:rsidRPr="007B410E">
        <w:rPr>
          <w:szCs w:val="24"/>
          <w:lang w:eastAsia="en-US"/>
        </w:rPr>
        <w:t xml:space="preserve">Les manifestations d’intérêt seront ouvertes en présence des représentants des candidats qui souhaitent assister à l’ouverture des plis le </w:t>
      </w:r>
      <w:r w:rsidR="00F24F77" w:rsidRPr="007B410E">
        <w:rPr>
          <w:b/>
          <w:bCs/>
          <w:szCs w:val="24"/>
          <w:lang w:eastAsia="en-US"/>
        </w:rPr>
        <w:t>Vendredi 31</w:t>
      </w:r>
      <w:r w:rsidR="003C3273" w:rsidRPr="007B410E">
        <w:rPr>
          <w:b/>
          <w:bCs/>
          <w:szCs w:val="24"/>
          <w:lang w:eastAsia="en-US"/>
        </w:rPr>
        <w:t xml:space="preserve"> Juillet </w:t>
      </w:r>
      <w:r w:rsidR="00D637EF" w:rsidRPr="007B410E">
        <w:rPr>
          <w:b/>
          <w:bCs/>
          <w:szCs w:val="24"/>
          <w:lang w:eastAsia="en-US"/>
        </w:rPr>
        <w:t>2026</w:t>
      </w:r>
      <w:r w:rsidRPr="007B410E">
        <w:rPr>
          <w:b/>
          <w:bCs/>
          <w:szCs w:val="24"/>
          <w:lang w:eastAsia="en-US"/>
        </w:rPr>
        <w:t> à 10 heures 30 minutes GMT</w:t>
      </w:r>
      <w:r w:rsidRPr="007B410E">
        <w:rPr>
          <w:szCs w:val="24"/>
          <w:lang w:eastAsia="en-US"/>
        </w:rPr>
        <w:t xml:space="preserve"> à l’adresse indiquée ci-dessus</w:t>
      </w:r>
      <w:r w:rsidRPr="007B410E">
        <w:rPr>
          <w:szCs w:val="24"/>
        </w:rPr>
        <w:t>.</w:t>
      </w:r>
    </w:p>
    <w:p w14:paraId="10D7DD65" w14:textId="77777777" w:rsidR="0036326F" w:rsidRPr="007B410E" w:rsidRDefault="0036326F" w:rsidP="00724B98">
      <w:pPr>
        <w:spacing w:after="0"/>
        <w:jc w:val="both"/>
        <w:rPr>
          <w:szCs w:val="24"/>
        </w:rPr>
      </w:pPr>
      <w:r w:rsidRPr="007B410E">
        <w:rPr>
          <w:szCs w:val="24"/>
        </w:rPr>
        <w:t>Les manifestations d’intérêt reçues après la date et l’heure limites susvisées ne seront pas examinées.</w:t>
      </w:r>
    </w:p>
    <w:p w14:paraId="13B2E29A" w14:textId="7098C0F6" w:rsidR="00EB3CC6" w:rsidRPr="007B410E" w:rsidRDefault="0036326F">
      <w:pPr>
        <w:pStyle w:val="Blockquote"/>
        <w:spacing w:before="0" w:after="0"/>
        <w:ind w:left="0" w:right="0"/>
        <w:jc w:val="both"/>
        <w:rPr>
          <w:rStyle w:val="lev"/>
          <w:b w:val="0"/>
          <w:szCs w:val="24"/>
        </w:rPr>
      </w:pPr>
      <w:r w:rsidRPr="007B410E" w:rsidDel="0036326F">
        <w:rPr>
          <w:szCs w:val="24"/>
        </w:rPr>
        <w:t xml:space="preserve"> </w:t>
      </w:r>
    </w:p>
    <w:p w14:paraId="0C46B6E0" w14:textId="77777777" w:rsidR="002C10E9" w:rsidRPr="007B410E" w:rsidRDefault="002C10E9" w:rsidP="00724B98">
      <w:pPr>
        <w:spacing w:before="0"/>
        <w:jc w:val="both"/>
        <w:rPr>
          <w:b/>
          <w:szCs w:val="24"/>
        </w:rPr>
      </w:pPr>
      <w:r w:rsidRPr="007B410E">
        <w:rPr>
          <w:b/>
          <w:szCs w:val="24"/>
        </w:rPr>
        <w:t>16. Debriefing</w:t>
      </w:r>
    </w:p>
    <w:p w14:paraId="0FE25F42" w14:textId="77777777" w:rsidR="002C10E9" w:rsidRPr="007B410E" w:rsidRDefault="002C10E9" w:rsidP="00724B98">
      <w:pPr>
        <w:autoSpaceDE w:val="0"/>
        <w:autoSpaceDN w:val="0"/>
        <w:adjustRightInd w:val="0"/>
        <w:spacing w:before="20" w:after="0" w:line="240" w:lineRule="exact"/>
        <w:ind w:right="11"/>
        <w:jc w:val="both"/>
        <w:rPr>
          <w:rStyle w:val="lev"/>
          <w:b w:val="0"/>
          <w:szCs w:val="24"/>
          <w:lang w:eastAsia="fr-FR"/>
        </w:rPr>
      </w:pPr>
      <w:r w:rsidRPr="007B410E">
        <w:rPr>
          <w:szCs w:val="24"/>
          <w:lang w:eastAsia="fr-FR"/>
        </w:rPr>
        <w:t xml:space="preserve">Tout consultant qui souhaite connaître les raisons pour lesquelles </w:t>
      </w:r>
      <w:r w:rsidR="00A225DA" w:rsidRPr="007B410E">
        <w:rPr>
          <w:szCs w:val="24"/>
          <w:lang w:eastAsia="fr-FR"/>
        </w:rPr>
        <w:t xml:space="preserve">sa </w:t>
      </w:r>
      <w:r w:rsidRPr="007B410E">
        <w:rPr>
          <w:szCs w:val="24"/>
          <w:lang w:eastAsia="fr-FR"/>
        </w:rPr>
        <w:t>proposition n’a pas été retenu</w:t>
      </w:r>
      <w:r w:rsidR="00A225DA" w:rsidRPr="007B410E">
        <w:rPr>
          <w:szCs w:val="24"/>
          <w:lang w:eastAsia="fr-FR"/>
        </w:rPr>
        <w:t>e</w:t>
      </w:r>
      <w:r w:rsidRPr="007B410E">
        <w:rPr>
          <w:szCs w:val="24"/>
          <w:lang w:eastAsia="fr-FR"/>
        </w:rPr>
        <w:t xml:space="preserve"> doit en faire la demande. L’autorité contractante communiquera dans les plus brefs délais par écrit l’explication du rejet de la proposition. Si le soumissionnaire fait la demande d’assister à une réunion de </w:t>
      </w:r>
      <w:r w:rsidRPr="007B410E">
        <w:rPr>
          <w:b/>
          <w:szCs w:val="24"/>
          <w:lang w:eastAsia="fr-FR"/>
        </w:rPr>
        <w:t>débriefing</w:t>
      </w:r>
      <w:r w:rsidRPr="007B410E">
        <w:rPr>
          <w:szCs w:val="24"/>
          <w:lang w:eastAsia="fr-FR"/>
        </w:rPr>
        <w:t>, il devra en assumer tous les coûts.</w:t>
      </w:r>
    </w:p>
    <w:p w14:paraId="7A6D1D12" w14:textId="77777777" w:rsidR="0044022A" w:rsidRPr="007B410E" w:rsidRDefault="0044022A">
      <w:pPr>
        <w:pStyle w:val="Blockquote"/>
        <w:spacing w:before="0" w:after="0"/>
        <w:ind w:left="0" w:right="0"/>
        <w:jc w:val="both"/>
        <w:rPr>
          <w:szCs w:val="24"/>
        </w:rPr>
      </w:pPr>
    </w:p>
    <w:p w14:paraId="47014149" w14:textId="77777777" w:rsidR="0044022A" w:rsidRPr="007B410E" w:rsidRDefault="0044022A">
      <w:pPr>
        <w:spacing w:before="0" w:after="0"/>
        <w:rPr>
          <w:rStyle w:val="lev"/>
          <w:szCs w:val="24"/>
        </w:rPr>
      </w:pPr>
      <w:r w:rsidRPr="007B410E">
        <w:rPr>
          <w:rStyle w:val="lev"/>
          <w:szCs w:val="24"/>
        </w:rPr>
        <w:t>1</w:t>
      </w:r>
      <w:r w:rsidR="002C10E9" w:rsidRPr="007B410E">
        <w:rPr>
          <w:rStyle w:val="lev"/>
          <w:szCs w:val="24"/>
        </w:rPr>
        <w:t>7</w:t>
      </w:r>
      <w:r w:rsidRPr="007B410E">
        <w:rPr>
          <w:rStyle w:val="lev"/>
          <w:szCs w:val="24"/>
        </w:rPr>
        <w:t xml:space="preserve">. Langue </w:t>
      </w:r>
    </w:p>
    <w:p w14:paraId="280736D6" w14:textId="2FE7EB28" w:rsidR="0044022A" w:rsidRPr="007B410E" w:rsidRDefault="0044022A" w:rsidP="00724B98">
      <w:pPr>
        <w:pStyle w:val="Blockquote"/>
        <w:spacing w:after="0"/>
        <w:ind w:left="0" w:right="0"/>
        <w:jc w:val="both"/>
        <w:rPr>
          <w:rStyle w:val="lev"/>
          <w:b w:val="0"/>
          <w:szCs w:val="24"/>
        </w:rPr>
      </w:pPr>
      <w:r w:rsidRPr="007B410E">
        <w:rPr>
          <w:rStyle w:val="lev"/>
          <w:b w:val="0"/>
          <w:szCs w:val="24"/>
        </w:rPr>
        <w:t xml:space="preserve">Toutes les communications par écrit pour cette procédure d’appel </w:t>
      </w:r>
      <w:r w:rsidR="00183ED5" w:rsidRPr="007B410E">
        <w:rPr>
          <w:rStyle w:val="lev"/>
          <w:b w:val="0"/>
          <w:szCs w:val="24"/>
        </w:rPr>
        <w:t xml:space="preserve">à </w:t>
      </w:r>
      <w:r w:rsidR="00EA47BE" w:rsidRPr="007B410E">
        <w:rPr>
          <w:rStyle w:val="lev"/>
          <w:b w:val="0"/>
          <w:szCs w:val="24"/>
        </w:rPr>
        <w:t>manifestations d’intérêt</w:t>
      </w:r>
      <w:r w:rsidRPr="007B410E">
        <w:rPr>
          <w:rStyle w:val="lev"/>
          <w:b w:val="0"/>
          <w:szCs w:val="24"/>
        </w:rPr>
        <w:t xml:space="preserve"> </w:t>
      </w:r>
      <w:r w:rsidR="00FE4CCA" w:rsidRPr="007B410E">
        <w:rPr>
          <w:rStyle w:val="lev"/>
          <w:b w:val="0"/>
          <w:szCs w:val="24"/>
        </w:rPr>
        <w:t xml:space="preserve">international </w:t>
      </w:r>
      <w:r w:rsidRPr="007B410E">
        <w:rPr>
          <w:rStyle w:val="lev"/>
          <w:b w:val="0"/>
          <w:szCs w:val="24"/>
        </w:rPr>
        <w:t xml:space="preserve">et ce marché doivent être en français. </w:t>
      </w:r>
    </w:p>
    <w:p w14:paraId="37CF6F35" w14:textId="77777777" w:rsidR="0044022A" w:rsidRPr="007B410E" w:rsidRDefault="0044022A">
      <w:pPr>
        <w:pStyle w:val="Blockquote"/>
        <w:spacing w:before="0" w:after="0"/>
        <w:ind w:left="0" w:right="0"/>
        <w:jc w:val="both"/>
        <w:rPr>
          <w:szCs w:val="24"/>
        </w:rPr>
      </w:pPr>
    </w:p>
    <w:p w14:paraId="2BEA1853" w14:textId="77777777" w:rsidR="0044022A" w:rsidRPr="007B410E" w:rsidRDefault="0044022A">
      <w:pPr>
        <w:spacing w:before="0" w:after="0"/>
        <w:rPr>
          <w:rStyle w:val="lev"/>
          <w:szCs w:val="24"/>
        </w:rPr>
      </w:pPr>
      <w:r w:rsidRPr="007B410E">
        <w:rPr>
          <w:rStyle w:val="lev"/>
          <w:szCs w:val="24"/>
        </w:rPr>
        <w:t>1</w:t>
      </w:r>
      <w:r w:rsidR="002C10E9" w:rsidRPr="007B410E">
        <w:rPr>
          <w:rStyle w:val="lev"/>
          <w:szCs w:val="24"/>
        </w:rPr>
        <w:t>8</w:t>
      </w:r>
      <w:r w:rsidRPr="007B410E">
        <w:rPr>
          <w:rStyle w:val="lev"/>
          <w:szCs w:val="24"/>
        </w:rPr>
        <w:t>. Base juridique</w:t>
      </w:r>
    </w:p>
    <w:p w14:paraId="69980C22" w14:textId="27E087E3" w:rsidR="0044022A" w:rsidRPr="007B410E" w:rsidRDefault="0044022A" w:rsidP="00724B98">
      <w:pPr>
        <w:spacing w:after="0"/>
        <w:rPr>
          <w:rStyle w:val="lev"/>
          <w:b w:val="0"/>
          <w:szCs w:val="24"/>
        </w:rPr>
      </w:pPr>
      <w:r w:rsidRPr="007B410E">
        <w:rPr>
          <w:rStyle w:val="lev"/>
          <w:b w:val="0"/>
          <w:szCs w:val="24"/>
        </w:rPr>
        <w:t xml:space="preserve">Le </w:t>
      </w:r>
      <w:r w:rsidR="00A225DA" w:rsidRPr="007B410E">
        <w:rPr>
          <w:rStyle w:val="lev"/>
          <w:b w:val="0"/>
          <w:szCs w:val="24"/>
        </w:rPr>
        <w:t>Guide des Procédures de passation de marché et règles d'attribution des contrats financés par la Banque ouest africaine de développement</w:t>
      </w:r>
      <w:r w:rsidR="00BE581B" w:rsidRPr="007B410E">
        <w:rPr>
          <w:rStyle w:val="lev"/>
          <w:b w:val="0"/>
          <w:szCs w:val="24"/>
        </w:rPr>
        <w:t xml:space="preserve"> est disponible à l’adresse</w:t>
      </w:r>
      <w:r w:rsidR="00A36400" w:rsidRPr="007B410E">
        <w:rPr>
          <w:rStyle w:val="lev"/>
          <w:b w:val="0"/>
          <w:szCs w:val="24"/>
        </w:rPr>
        <w:t xml:space="preserve"> : </w:t>
      </w:r>
      <w:hyperlink r:id="rId16" w:history="1">
        <w:r w:rsidR="00A36400" w:rsidRPr="007B410E">
          <w:rPr>
            <w:rStyle w:val="Lienhypertexte"/>
            <w:szCs w:val="24"/>
          </w:rPr>
          <w:t>https://www.boad.org./fr/opportunites/documentation-passation-de-marches/</w:t>
        </w:r>
      </w:hyperlink>
      <w:r w:rsidRPr="007B410E">
        <w:rPr>
          <w:rStyle w:val="lev"/>
          <w:b w:val="0"/>
          <w:szCs w:val="24"/>
        </w:rPr>
        <w:t>.</w:t>
      </w:r>
    </w:p>
    <w:p w14:paraId="00C9DD6A" w14:textId="7EF00637" w:rsidR="00B02441" w:rsidRPr="007B410E" w:rsidRDefault="00B02441" w:rsidP="00724B98">
      <w:pPr>
        <w:spacing w:before="0" w:after="0"/>
        <w:ind w:left="6096"/>
        <w:jc w:val="both"/>
        <w:rPr>
          <w:b/>
          <w:bCs/>
          <w:szCs w:val="24"/>
        </w:rPr>
      </w:pPr>
      <w:r w:rsidRPr="007B410E">
        <w:rPr>
          <w:szCs w:val="24"/>
        </w:rPr>
        <w:tab/>
      </w:r>
      <w:bookmarkStart w:id="8" w:name="_Hlk125705734"/>
      <w:r w:rsidRPr="007B410E">
        <w:rPr>
          <w:szCs w:val="24"/>
        </w:rPr>
        <w:t xml:space="preserve">                                                 </w:t>
      </w:r>
      <w:r w:rsidRPr="007B410E">
        <w:rPr>
          <w:b/>
          <w:bCs/>
          <w:szCs w:val="24"/>
        </w:rPr>
        <w:t xml:space="preserve">                                                                                                  La </w:t>
      </w:r>
      <w:r w:rsidR="008C6B2A" w:rsidRPr="007B410E">
        <w:rPr>
          <w:b/>
          <w:bCs/>
          <w:szCs w:val="24"/>
        </w:rPr>
        <w:t>Personne Responsable</w:t>
      </w:r>
      <w:r w:rsidR="002A32B4" w:rsidRPr="007B410E">
        <w:rPr>
          <w:b/>
          <w:bCs/>
          <w:szCs w:val="24"/>
        </w:rPr>
        <w:t xml:space="preserve"> des Marchés Publics</w:t>
      </w:r>
      <w:r w:rsidRPr="007B410E">
        <w:rPr>
          <w:b/>
          <w:bCs/>
          <w:szCs w:val="24"/>
        </w:rPr>
        <w:t xml:space="preserve">                                                                                 </w:t>
      </w:r>
    </w:p>
    <w:p w14:paraId="32AD0F2D" w14:textId="342BECC4" w:rsidR="00B02441" w:rsidRPr="007B410E" w:rsidRDefault="00B02441">
      <w:pPr>
        <w:spacing w:before="0" w:after="0"/>
        <w:rPr>
          <w:b/>
          <w:bCs/>
          <w:szCs w:val="24"/>
        </w:rPr>
      </w:pPr>
    </w:p>
    <w:p w14:paraId="24F77D27" w14:textId="77777777" w:rsidR="00923CC4" w:rsidRPr="007B410E" w:rsidRDefault="00923CC4">
      <w:pPr>
        <w:spacing w:before="0" w:after="0"/>
        <w:rPr>
          <w:b/>
          <w:bCs/>
          <w:szCs w:val="24"/>
        </w:rPr>
      </w:pPr>
    </w:p>
    <w:p w14:paraId="2D12B544" w14:textId="77777777" w:rsidR="002A32B4" w:rsidRPr="007B410E" w:rsidRDefault="002A32B4">
      <w:pPr>
        <w:spacing w:before="0" w:after="0"/>
        <w:rPr>
          <w:b/>
          <w:bCs/>
          <w:szCs w:val="24"/>
        </w:rPr>
      </w:pPr>
    </w:p>
    <w:p w14:paraId="5DAF5F6A" w14:textId="651A99EE" w:rsidR="00B02441" w:rsidRPr="007B410E" w:rsidRDefault="00F11089" w:rsidP="00724B98">
      <w:pPr>
        <w:spacing w:before="0" w:after="0"/>
        <w:ind w:left="6096"/>
        <w:rPr>
          <w:b/>
          <w:bCs/>
          <w:szCs w:val="24"/>
        </w:rPr>
      </w:pPr>
      <w:r w:rsidRPr="007B410E">
        <w:rPr>
          <w:b/>
          <w:bCs/>
          <w:szCs w:val="24"/>
        </w:rPr>
        <w:t>AYIVOR Afiwa</w:t>
      </w:r>
      <w:r w:rsidR="003E183C" w:rsidRPr="007B410E">
        <w:rPr>
          <w:b/>
          <w:bCs/>
          <w:szCs w:val="24"/>
        </w:rPr>
        <w:t xml:space="preserve"> </w:t>
      </w:r>
      <w:bookmarkEnd w:id="8"/>
      <w:r w:rsidR="00053052">
        <w:rPr>
          <w:b/>
          <w:bCs/>
          <w:szCs w:val="24"/>
        </w:rPr>
        <w:t>Laetitia</w:t>
      </w:r>
    </w:p>
    <w:sectPr w:rsidR="00B02441" w:rsidRPr="007B410E" w:rsidSect="00724B98">
      <w:headerReference w:type="default" r:id="rId17"/>
      <w:footerReference w:type="default" r:id="rId18"/>
      <w:footnotePr>
        <w:pos w:val="beneathText"/>
      </w:footnotePr>
      <w:pgSz w:w="12240" w:h="15840"/>
      <w:pgMar w:top="709" w:right="1440" w:bottom="426" w:left="1440" w:header="720" w:footer="6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8E3F9" w14:textId="77777777" w:rsidR="00AB5303" w:rsidRPr="007E0924" w:rsidRDefault="00AB5303">
      <w:pPr>
        <w:spacing w:before="0" w:after="0"/>
      </w:pPr>
      <w:r w:rsidRPr="007E0924">
        <w:separator/>
      </w:r>
    </w:p>
  </w:endnote>
  <w:endnote w:type="continuationSeparator" w:id="0">
    <w:p w14:paraId="08CF6494" w14:textId="77777777" w:rsidR="00AB5303" w:rsidRPr="007E0924" w:rsidRDefault="00AB5303">
      <w:pPr>
        <w:spacing w:before="0" w:after="0"/>
      </w:pPr>
      <w:r w:rsidRPr="007E09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5023E" w14:textId="368337B3" w:rsidR="00B50095" w:rsidRPr="003C3B67" w:rsidRDefault="00B50095" w:rsidP="00577575">
    <w:pPr>
      <w:pStyle w:val="Pieddepage"/>
      <w:pBdr>
        <w:top w:val="single" w:sz="4" w:space="1" w:color="auto"/>
      </w:pBdr>
      <w:tabs>
        <w:tab w:val="clear" w:pos="4320"/>
        <w:tab w:val="clear" w:pos="8640"/>
        <w:tab w:val="left" w:pos="8789"/>
      </w:tabs>
      <w:spacing w:after="0"/>
      <w:rPr>
        <w:b/>
        <w:sz w:val="18"/>
        <w:szCs w:val="18"/>
      </w:rPr>
    </w:pPr>
    <w:r w:rsidRPr="003C3B67">
      <w:rPr>
        <w:sz w:val="18"/>
        <w:szCs w:val="18"/>
      </w:rPr>
      <w:t>BOAD – AT2ER - Avis de sollicitation de manifestations d’intérêt</w:t>
    </w:r>
    <w:r w:rsidR="00B65480" w:rsidRPr="003C3B67">
      <w:rPr>
        <w:sz w:val="18"/>
        <w:szCs w:val="18"/>
      </w:rPr>
      <w:t xml:space="preserve"> International</w:t>
    </w:r>
    <w:r w:rsidR="008C22F3" w:rsidRPr="003C3B67">
      <w:rPr>
        <w:sz w:val="18"/>
        <w:szCs w:val="18"/>
      </w:rPr>
      <w:t xml:space="preserve"> </w:t>
    </w:r>
    <w:r w:rsidRPr="003C3B67">
      <w:rPr>
        <w:sz w:val="18"/>
        <w:szCs w:val="18"/>
      </w:rPr>
      <w:t>- 202</w:t>
    </w:r>
    <w:r w:rsidR="0038012D" w:rsidRPr="003C3B67">
      <w:rPr>
        <w:sz w:val="18"/>
        <w:szCs w:val="18"/>
      </w:rPr>
      <w:t>5</w:t>
    </w:r>
    <w:r w:rsidRPr="003C3B67">
      <w:rPr>
        <w:b/>
        <w:sz w:val="18"/>
        <w:szCs w:val="18"/>
      </w:rPr>
      <w:tab/>
    </w:r>
    <w:r w:rsidRPr="003C3B67">
      <w:rPr>
        <w:sz w:val="18"/>
        <w:szCs w:val="18"/>
      </w:rPr>
      <w:t xml:space="preserve">Page </w:t>
    </w:r>
    <w:r w:rsidRPr="007E0924">
      <w:rPr>
        <w:rStyle w:val="Numrodepage"/>
        <w:sz w:val="18"/>
        <w:szCs w:val="18"/>
      </w:rPr>
      <w:fldChar w:fldCharType="begin"/>
    </w:r>
    <w:r w:rsidRPr="007E0924">
      <w:rPr>
        <w:rStyle w:val="Numrodepage"/>
        <w:sz w:val="18"/>
        <w:szCs w:val="18"/>
      </w:rPr>
      <w:instrText xml:space="preserve"> PAGE </w:instrText>
    </w:r>
    <w:r w:rsidRPr="007E0924">
      <w:rPr>
        <w:rStyle w:val="Numrodepage"/>
        <w:sz w:val="18"/>
        <w:szCs w:val="18"/>
      </w:rPr>
      <w:fldChar w:fldCharType="separate"/>
    </w:r>
    <w:r w:rsidRPr="003C3B67">
      <w:rPr>
        <w:rStyle w:val="Numrodepage"/>
        <w:sz w:val="18"/>
        <w:szCs w:val="18"/>
      </w:rPr>
      <w:t>5</w:t>
    </w:r>
    <w:r w:rsidRPr="007E0924">
      <w:rPr>
        <w:rStyle w:val="Numrodepag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11B0B" w14:textId="77777777" w:rsidR="00AB5303" w:rsidRPr="007E0924" w:rsidRDefault="00AB5303">
      <w:pPr>
        <w:spacing w:before="0" w:after="0"/>
      </w:pPr>
      <w:r w:rsidRPr="007E0924">
        <w:separator/>
      </w:r>
    </w:p>
  </w:footnote>
  <w:footnote w:type="continuationSeparator" w:id="0">
    <w:p w14:paraId="0591705D" w14:textId="77777777" w:rsidR="00AB5303" w:rsidRPr="007E0924" w:rsidRDefault="00AB5303">
      <w:pPr>
        <w:spacing w:before="0" w:after="0"/>
      </w:pPr>
      <w:r w:rsidRPr="007E09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30EC" w14:textId="77777777" w:rsidR="00B50095" w:rsidRPr="007E0924" w:rsidRDefault="00B50095">
    <w:pPr>
      <w:pStyle w:val="En-tte"/>
    </w:pPr>
    <w:r w:rsidRPr="007E0924">
      <w:rPr>
        <w:rFonts w:ascii="Calibri" w:hAnsi="Calibri" w:cs="Calibri"/>
        <w:color w:val="000000"/>
      </w:rPr>
      <w:fldChar w:fldCharType="begin"/>
    </w:r>
    <w:r w:rsidRPr="007E0924">
      <w:rPr>
        <w:rFonts w:ascii="Calibri" w:hAnsi="Calibri" w:cs="Calibri"/>
        <w:color w:val="000000"/>
      </w:rPr>
      <w:instrText xml:space="preserve"> INCLUDEPICTURE "https://www.african-markets.com/images/news/west/boad-1.jpg" \* MERGEFORMATINET </w:instrText>
    </w:r>
    <w:r w:rsidRPr="007E0924">
      <w:rPr>
        <w:rFonts w:ascii="Calibri" w:hAnsi="Calibri" w:cs="Calibri"/>
        <w:color w:val="000000"/>
      </w:rPr>
      <w:fldChar w:fldCharType="end"/>
    </w:r>
    <w:r w:rsidRPr="007E0924">
      <w:rPr>
        <w:rFonts w:ascii="Calibri" w:hAnsi="Calibri" w:cs="Calibri"/>
        <w:color w:val="000000"/>
      </w:rPr>
      <w:fldChar w:fldCharType="begin"/>
    </w:r>
    <w:r w:rsidRPr="007E0924">
      <w:rPr>
        <w:rFonts w:ascii="Calibri" w:hAnsi="Calibri" w:cs="Calibri"/>
        <w:color w:val="000000"/>
      </w:rPr>
      <w:instrText xml:space="preserve"> INCLUDEPICTURE "https://www.african-markets.com/images/news/west/boad-1.jpg" \* MERGEFORMATINET </w:instrText>
    </w:r>
    <w:r w:rsidRPr="007E0924">
      <w:rPr>
        <w:rFonts w:ascii="Calibri" w:hAnsi="Calibri" w:cs="Calibri"/>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pStyle w:val="Paragraphenumchiffre"/>
      <w:lvlText w:val="%1)"/>
      <w:lvlJc w:val="left"/>
      <w:pPr>
        <w:tabs>
          <w:tab w:val="num" w:pos="360"/>
        </w:tabs>
        <w:ind w:left="36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1980"/>
        </w:tabs>
        <w:ind w:left="1980" w:hanging="54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19E3AA5"/>
    <w:multiLevelType w:val="hybridMultilevel"/>
    <w:tmpl w:val="9C32A988"/>
    <w:lvl w:ilvl="0" w:tplc="040C0017">
      <w:start w:val="1"/>
      <w:numFmt w:val="lowerLetter"/>
      <w:lvlText w:val="%1)"/>
      <w:lvlJc w:val="left"/>
      <w:pPr>
        <w:ind w:left="795" w:hanging="360"/>
      </w:pPr>
      <w:rPr>
        <w:rFonts w:hint="default"/>
        <w:b w:val="0"/>
        <w:bCs w:val="0"/>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4" w15:restartNumberingAfterBreak="0">
    <w:nsid w:val="04D21ECA"/>
    <w:multiLevelType w:val="hybridMultilevel"/>
    <w:tmpl w:val="CD0E3C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5FE08CF"/>
    <w:multiLevelType w:val="hybridMultilevel"/>
    <w:tmpl w:val="4EBCF7F0"/>
    <w:lvl w:ilvl="0" w:tplc="FFFFFFFF">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812288"/>
    <w:multiLevelType w:val="hybridMultilevel"/>
    <w:tmpl w:val="D2B85FEA"/>
    <w:lvl w:ilvl="0" w:tplc="6A8E2E1C">
      <w:start w:val="4"/>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0C32AAF"/>
    <w:multiLevelType w:val="hybridMultilevel"/>
    <w:tmpl w:val="925C4962"/>
    <w:lvl w:ilvl="0" w:tplc="040C0001">
      <w:start w:val="1"/>
      <w:numFmt w:val="bullet"/>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8" w15:restartNumberingAfterBreak="0">
    <w:nsid w:val="14F063F2"/>
    <w:multiLevelType w:val="hybridMultilevel"/>
    <w:tmpl w:val="B07E5C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745F57"/>
    <w:multiLevelType w:val="hybridMultilevel"/>
    <w:tmpl w:val="B07E5C1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00F1D07"/>
    <w:multiLevelType w:val="hybridMultilevel"/>
    <w:tmpl w:val="93FC9252"/>
    <w:lvl w:ilvl="0" w:tplc="E6DC062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3357061"/>
    <w:multiLevelType w:val="hybridMultilevel"/>
    <w:tmpl w:val="FFF4D42A"/>
    <w:lvl w:ilvl="0" w:tplc="99DAA5AA">
      <w:start w:val="1"/>
      <w:numFmt w:val="bullet"/>
      <w:lvlText w:val="-"/>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D454B8"/>
    <w:multiLevelType w:val="hybridMultilevel"/>
    <w:tmpl w:val="DFBA638E"/>
    <w:lvl w:ilvl="0" w:tplc="FFFFFFFF">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DF14F1"/>
    <w:multiLevelType w:val="hybridMultilevel"/>
    <w:tmpl w:val="F244B3DE"/>
    <w:lvl w:ilvl="0" w:tplc="040C001B">
      <w:start w:val="1"/>
      <w:numFmt w:val="lowerRoman"/>
      <w:lvlText w:val="%1."/>
      <w:lvlJc w:val="right"/>
      <w:pPr>
        <w:ind w:left="1080" w:hanging="360"/>
      </w:pPr>
      <w:rPr>
        <w:rFont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15:restartNumberingAfterBreak="0">
    <w:nsid w:val="3AEE7738"/>
    <w:multiLevelType w:val="hybridMultilevel"/>
    <w:tmpl w:val="F4F4E39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0151412"/>
    <w:multiLevelType w:val="hybridMultilevel"/>
    <w:tmpl w:val="7534DB0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26965D4"/>
    <w:multiLevelType w:val="hybridMultilevel"/>
    <w:tmpl w:val="94E4941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17E0D66"/>
    <w:multiLevelType w:val="hybridMultilevel"/>
    <w:tmpl w:val="4BCC338A"/>
    <w:lvl w:ilvl="0" w:tplc="2000000B">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8" w15:restartNumberingAfterBreak="0">
    <w:nsid w:val="53675EF3"/>
    <w:multiLevelType w:val="hybridMultilevel"/>
    <w:tmpl w:val="C24E9E04"/>
    <w:lvl w:ilvl="0" w:tplc="040C0017">
      <w:start w:val="1"/>
      <w:numFmt w:val="lowerLetter"/>
      <w:lvlText w:val="%1)"/>
      <w:lvlJc w:val="left"/>
      <w:pPr>
        <w:ind w:left="1515" w:hanging="360"/>
      </w:pPr>
    </w:lvl>
    <w:lvl w:ilvl="1" w:tplc="040C0019" w:tentative="1">
      <w:start w:val="1"/>
      <w:numFmt w:val="lowerLetter"/>
      <w:lvlText w:val="%2."/>
      <w:lvlJc w:val="left"/>
      <w:pPr>
        <w:ind w:left="2235" w:hanging="360"/>
      </w:pPr>
    </w:lvl>
    <w:lvl w:ilvl="2" w:tplc="040C001B" w:tentative="1">
      <w:start w:val="1"/>
      <w:numFmt w:val="lowerRoman"/>
      <w:lvlText w:val="%3."/>
      <w:lvlJc w:val="right"/>
      <w:pPr>
        <w:ind w:left="2955" w:hanging="180"/>
      </w:pPr>
    </w:lvl>
    <w:lvl w:ilvl="3" w:tplc="040C000F" w:tentative="1">
      <w:start w:val="1"/>
      <w:numFmt w:val="decimal"/>
      <w:lvlText w:val="%4."/>
      <w:lvlJc w:val="left"/>
      <w:pPr>
        <w:ind w:left="3675" w:hanging="360"/>
      </w:pPr>
    </w:lvl>
    <w:lvl w:ilvl="4" w:tplc="040C0019" w:tentative="1">
      <w:start w:val="1"/>
      <w:numFmt w:val="lowerLetter"/>
      <w:lvlText w:val="%5."/>
      <w:lvlJc w:val="left"/>
      <w:pPr>
        <w:ind w:left="4395" w:hanging="360"/>
      </w:pPr>
    </w:lvl>
    <w:lvl w:ilvl="5" w:tplc="040C001B" w:tentative="1">
      <w:start w:val="1"/>
      <w:numFmt w:val="lowerRoman"/>
      <w:lvlText w:val="%6."/>
      <w:lvlJc w:val="right"/>
      <w:pPr>
        <w:ind w:left="5115" w:hanging="180"/>
      </w:pPr>
    </w:lvl>
    <w:lvl w:ilvl="6" w:tplc="040C000F" w:tentative="1">
      <w:start w:val="1"/>
      <w:numFmt w:val="decimal"/>
      <w:lvlText w:val="%7."/>
      <w:lvlJc w:val="left"/>
      <w:pPr>
        <w:ind w:left="5835" w:hanging="360"/>
      </w:pPr>
    </w:lvl>
    <w:lvl w:ilvl="7" w:tplc="040C0019" w:tentative="1">
      <w:start w:val="1"/>
      <w:numFmt w:val="lowerLetter"/>
      <w:lvlText w:val="%8."/>
      <w:lvlJc w:val="left"/>
      <w:pPr>
        <w:ind w:left="6555" w:hanging="360"/>
      </w:pPr>
    </w:lvl>
    <w:lvl w:ilvl="8" w:tplc="040C001B" w:tentative="1">
      <w:start w:val="1"/>
      <w:numFmt w:val="lowerRoman"/>
      <w:lvlText w:val="%9."/>
      <w:lvlJc w:val="right"/>
      <w:pPr>
        <w:ind w:left="7275" w:hanging="180"/>
      </w:pPr>
    </w:lvl>
  </w:abstractNum>
  <w:abstractNum w:abstractNumId="19" w15:restartNumberingAfterBreak="0">
    <w:nsid w:val="594E5A02"/>
    <w:multiLevelType w:val="hybridMultilevel"/>
    <w:tmpl w:val="9AE4A376"/>
    <w:lvl w:ilvl="0" w:tplc="040C0017">
      <w:start w:val="1"/>
      <w:numFmt w:val="lowerLetter"/>
      <w:lvlText w:val="%1)"/>
      <w:lvlJc w:val="left"/>
      <w:pPr>
        <w:ind w:left="795" w:hanging="360"/>
      </w:pPr>
      <w:rPr>
        <w:rFonts w:hint="default"/>
        <w:b w:val="0"/>
        <w:bCs w:val="0"/>
      </w:rPr>
    </w:lvl>
    <w:lvl w:ilvl="1" w:tplc="FFFFFFFF">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20" w15:restartNumberingAfterBreak="0">
    <w:nsid w:val="5B7D2196"/>
    <w:multiLevelType w:val="hybridMultilevel"/>
    <w:tmpl w:val="3CAAA702"/>
    <w:lvl w:ilvl="0" w:tplc="32509202">
      <w:start w:val="13"/>
      <w:numFmt w:val="bullet"/>
      <w:lvlText w:val="-"/>
      <w:lvlJc w:val="left"/>
      <w:pPr>
        <w:ind w:left="1440" w:hanging="360"/>
      </w:pPr>
      <w:rPr>
        <w:rFonts w:ascii="Arial" w:eastAsia="Calibri" w:hAnsi="Arial" w:cs="Aria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1" w15:restartNumberingAfterBreak="0">
    <w:nsid w:val="5C2A7D38"/>
    <w:multiLevelType w:val="hybridMultilevel"/>
    <w:tmpl w:val="3CC6FA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C811DAF"/>
    <w:multiLevelType w:val="hybridMultilevel"/>
    <w:tmpl w:val="DC506EA2"/>
    <w:lvl w:ilvl="0" w:tplc="040C0001">
      <w:start w:val="1"/>
      <w:numFmt w:val="bullet"/>
      <w:lvlText w:val=""/>
      <w:lvlJc w:val="left"/>
      <w:pPr>
        <w:ind w:left="1080" w:hanging="360"/>
      </w:pPr>
      <w:rPr>
        <w:rFonts w:ascii="Symbol" w:hAnsi="Symbol" w:hint="default"/>
        <w:b w:val="0"/>
        <w:bCs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5D5005D3"/>
    <w:multiLevelType w:val="hybridMultilevel"/>
    <w:tmpl w:val="2FE4AC8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EC9068D"/>
    <w:multiLevelType w:val="hybridMultilevel"/>
    <w:tmpl w:val="DD6055C4"/>
    <w:lvl w:ilvl="0" w:tplc="6A8E2E1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8554099"/>
    <w:multiLevelType w:val="hybridMultilevel"/>
    <w:tmpl w:val="7F742ADA"/>
    <w:lvl w:ilvl="0" w:tplc="040C0017">
      <w:start w:val="1"/>
      <w:numFmt w:val="lowerLetter"/>
      <w:lvlText w:val="%1)"/>
      <w:lvlJc w:val="left"/>
      <w:pPr>
        <w:ind w:left="826" w:hanging="360"/>
      </w:pPr>
      <w:rPr>
        <w:rFonts w:hint="default"/>
        <w:b/>
        <w:bCs/>
        <w:sz w:val="24"/>
        <w:szCs w:val="24"/>
      </w:rPr>
    </w:lvl>
    <w:lvl w:ilvl="1" w:tplc="040C0019" w:tentative="1">
      <w:start w:val="1"/>
      <w:numFmt w:val="lowerLetter"/>
      <w:lvlText w:val="%2."/>
      <w:lvlJc w:val="left"/>
      <w:pPr>
        <w:ind w:left="1546" w:hanging="360"/>
      </w:pPr>
    </w:lvl>
    <w:lvl w:ilvl="2" w:tplc="040C001B" w:tentative="1">
      <w:start w:val="1"/>
      <w:numFmt w:val="lowerRoman"/>
      <w:lvlText w:val="%3."/>
      <w:lvlJc w:val="right"/>
      <w:pPr>
        <w:ind w:left="2266" w:hanging="180"/>
      </w:pPr>
    </w:lvl>
    <w:lvl w:ilvl="3" w:tplc="040C000F" w:tentative="1">
      <w:start w:val="1"/>
      <w:numFmt w:val="decimal"/>
      <w:lvlText w:val="%4."/>
      <w:lvlJc w:val="left"/>
      <w:pPr>
        <w:ind w:left="2986" w:hanging="360"/>
      </w:pPr>
    </w:lvl>
    <w:lvl w:ilvl="4" w:tplc="040C0019" w:tentative="1">
      <w:start w:val="1"/>
      <w:numFmt w:val="lowerLetter"/>
      <w:lvlText w:val="%5."/>
      <w:lvlJc w:val="left"/>
      <w:pPr>
        <w:ind w:left="3706" w:hanging="360"/>
      </w:pPr>
    </w:lvl>
    <w:lvl w:ilvl="5" w:tplc="040C001B" w:tentative="1">
      <w:start w:val="1"/>
      <w:numFmt w:val="lowerRoman"/>
      <w:lvlText w:val="%6."/>
      <w:lvlJc w:val="right"/>
      <w:pPr>
        <w:ind w:left="4426" w:hanging="180"/>
      </w:pPr>
    </w:lvl>
    <w:lvl w:ilvl="6" w:tplc="040C000F" w:tentative="1">
      <w:start w:val="1"/>
      <w:numFmt w:val="decimal"/>
      <w:lvlText w:val="%7."/>
      <w:lvlJc w:val="left"/>
      <w:pPr>
        <w:ind w:left="5146" w:hanging="360"/>
      </w:pPr>
    </w:lvl>
    <w:lvl w:ilvl="7" w:tplc="040C0019" w:tentative="1">
      <w:start w:val="1"/>
      <w:numFmt w:val="lowerLetter"/>
      <w:lvlText w:val="%8."/>
      <w:lvlJc w:val="left"/>
      <w:pPr>
        <w:ind w:left="5866" w:hanging="360"/>
      </w:pPr>
    </w:lvl>
    <w:lvl w:ilvl="8" w:tplc="040C001B" w:tentative="1">
      <w:start w:val="1"/>
      <w:numFmt w:val="lowerRoman"/>
      <w:lvlText w:val="%9."/>
      <w:lvlJc w:val="right"/>
      <w:pPr>
        <w:ind w:left="6586" w:hanging="180"/>
      </w:pPr>
    </w:lvl>
  </w:abstractNum>
  <w:abstractNum w:abstractNumId="26" w15:restartNumberingAfterBreak="0">
    <w:nsid w:val="69A06F73"/>
    <w:multiLevelType w:val="hybridMultilevel"/>
    <w:tmpl w:val="B4CC99C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F30DF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E3F79A6"/>
    <w:multiLevelType w:val="hybridMultilevel"/>
    <w:tmpl w:val="286647E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10466930">
    <w:abstractNumId w:val="0"/>
  </w:num>
  <w:num w:numId="2" w16cid:durableId="2004235841">
    <w:abstractNumId w:val="1"/>
  </w:num>
  <w:num w:numId="3" w16cid:durableId="1767187327">
    <w:abstractNumId w:val="2"/>
  </w:num>
  <w:num w:numId="4" w16cid:durableId="1533496161">
    <w:abstractNumId w:val="13"/>
  </w:num>
  <w:num w:numId="5" w16cid:durableId="168563949">
    <w:abstractNumId w:val="19"/>
  </w:num>
  <w:num w:numId="6" w16cid:durableId="833373796">
    <w:abstractNumId w:val="9"/>
  </w:num>
  <w:num w:numId="7" w16cid:durableId="430855875">
    <w:abstractNumId w:val="28"/>
  </w:num>
  <w:num w:numId="8" w16cid:durableId="1619294074">
    <w:abstractNumId w:val="25"/>
  </w:num>
  <w:num w:numId="9" w16cid:durableId="1263611621">
    <w:abstractNumId w:val="24"/>
  </w:num>
  <w:num w:numId="10" w16cid:durableId="1748073874">
    <w:abstractNumId w:val="3"/>
  </w:num>
  <w:num w:numId="11" w16cid:durableId="1794248309">
    <w:abstractNumId w:val="22"/>
  </w:num>
  <w:num w:numId="12" w16cid:durableId="646668693">
    <w:abstractNumId w:val="18"/>
  </w:num>
  <w:num w:numId="13" w16cid:durableId="1563099494">
    <w:abstractNumId w:val="20"/>
  </w:num>
  <w:num w:numId="14" w16cid:durableId="440145876">
    <w:abstractNumId w:val="19"/>
    <w:lvlOverride w:ilvl="0">
      <w:startOverride w:val="1"/>
    </w:lvlOverride>
    <w:lvlOverride w:ilvl="1"/>
    <w:lvlOverride w:ilvl="2"/>
    <w:lvlOverride w:ilvl="3"/>
    <w:lvlOverride w:ilvl="4"/>
    <w:lvlOverride w:ilvl="5"/>
    <w:lvlOverride w:ilvl="6"/>
    <w:lvlOverride w:ilvl="7"/>
    <w:lvlOverride w:ilvl="8"/>
  </w:num>
  <w:num w:numId="15" w16cid:durableId="410591641">
    <w:abstractNumId w:val="12"/>
  </w:num>
  <w:num w:numId="16" w16cid:durableId="1561404619">
    <w:abstractNumId w:val="5"/>
  </w:num>
  <w:num w:numId="17" w16cid:durableId="1707637058">
    <w:abstractNumId w:val="11"/>
  </w:num>
  <w:num w:numId="18" w16cid:durableId="1415474106">
    <w:abstractNumId w:val="10"/>
  </w:num>
  <w:num w:numId="19" w16cid:durableId="698429941">
    <w:abstractNumId w:val="15"/>
  </w:num>
  <w:num w:numId="20" w16cid:durableId="2128815105">
    <w:abstractNumId w:val="8"/>
  </w:num>
  <w:num w:numId="21" w16cid:durableId="1295716366">
    <w:abstractNumId w:val="6"/>
  </w:num>
  <w:num w:numId="22" w16cid:durableId="270745646">
    <w:abstractNumId w:val="21"/>
  </w:num>
  <w:num w:numId="23" w16cid:durableId="90052469">
    <w:abstractNumId w:val="7"/>
  </w:num>
  <w:num w:numId="24" w16cid:durableId="919102400">
    <w:abstractNumId w:val="4"/>
  </w:num>
  <w:num w:numId="25" w16cid:durableId="1127967119">
    <w:abstractNumId w:val="27"/>
  </w:num>
  <w:num w:numId="26" w16cid:durableId="590286312">
    <w:abstractNumId w:val="14"/>
  </w:num>
  <w:num w:numId="27" w16cid:durableId="975989241">
    <w:abstractNumId w:val="17"/>
  </w:num>
  <w:num w:numId="28" w16cid:durableId="1897739593">
    <w:abstractNumId w:val="23"/>
  </w:num>
  <w:num w:numId="29" w16cid:durableId="1051151886">
    <w:abstractNumId w:val="16"/>
  </w:num>
  <w:num w:numId="30" w16cid:durableId="20940809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8AE"/>
    <w:rsid w:val="00000ED6"/>
    <w:rsid w:val="00005076"/>
    <w:rsid w:val="00005C76"/>
    <w:rsid w:val="00010236"/>
    <w:rsid w:val="000158D5"/>
    <w:rsid w:val="00022770"/>
    <w:rsid w:val="000240D4"/>
    <w:rsid w:val="000269EC"/>
    <w:rsid w:val="0003242D"/>
    <w:rsid w:val="00034134"/>
    <w:rsid w:val="00034F28"/>
    <w:rsid w:val="00040AB0"/>
    <w:rsid w:val="00044247"/>
    <w:rsid w:val="000449BD"/>
    <w:rsid w:val="00045231"/>
    <w:rsid w:val="00047C78"/>
    <w:rsid w:val="00047E74"/>
    <w:rsid w:val="00053052"/>
    <w:rsid w:val="00053191"/>
    <w:rsid w:val="00055E51"/>
    <w:rsid w:val="000676DD"/>
    <w:rsid w:val="000701D3"/>
    <w:rsid w:val="00072006"/>
    <w:rsid w:val="00075F95"/>
    <w:rsid w:val="00076F2C"/>
    <w:rsid w:val="000811B6"/>
    <w:rsid w:val="0008606D"/>
    <w:rsid w:val="00086C6D"/>
    <w:rsid w:val="000901BA"/>
    <w:rsid w:val="000901CF"/>
    <w:rsid w:val="000A2D56"/>
    <w:rsid w:val="000B0755"/>
    <w:rsid w:val="000B0F12"/>
    <w:rsid w:val="000C15CA"/>
    <w:rsid w:val="000C2815"/>
    <w:rsid w:val="000C3B6A"/>
    <w:rsid w:val="000D3ACB"/>
    <w:rsid w:val="000E23A3"/>
    <w:rsid w:val="000E4B3C"/>
    <w:rsid w:val="000F1FED"/>
    <w:rsid w:val="000F7957"/>
    <w:rsid w:val="00105D20"/>
    <w:rsid w:val="001119E0"/>
    <w:rsid w:val="00124EC8"/>
    <w:rsid w:val="0013556E"/>
    <w:rsid w:val="00135B8D"/>
    <w:rsid w:val="00141C62"/>
    <w:rsid w:val="00143E30"/>
    <w:rsid w:val="00153F75"/>
    <w:rsid w:val="001624C7"/>
    <w:rsid w:val="00180C0D"/>
    <w:rsid w:val="00183ED5"/>
    <w:rsid w:val="001842F9"/>
    <w:rsid w:val="00187894"/>
    <w:rsid w:val="001901E2"/>
    <w:rsid w:val="00191C52"/>
    <w:rsid w:val="00192BD0"/>
    <w:rsid w:val="001949D1"/>
    <w:rsid w:val="001A052B"/>
    <w:rsid w:val="001B5886"/>
    <w:rsid w:val="001C315E"/>
    <w:rsid w:val="001C4912"/>
    <w:rsid w:val="001C5CFA"/>
    <w:rsid w:val="001C5D9E"/>
    <w:rsid w:val="001D4D54"/>
    <w:rsid w:val="001E2401"/>
    <w:rsid w:val="001E6E82"/>
    <w:rsid w:val="001E732C"/>
    <w:rsid w:val="001F2E0C"/>
    <w:rsid w:val="001F45DC"/>
    <w:rsid w:val="001F6AAC"/>
    <w:rsid w:val="00200C24"/>
    <w:rsid w:val="00204B8E"/>
    <w:rsid w:val="002060D0"/>
    <w:rsid w:val="00206528"/>
    <w:rsid w:val="002071A8"/>
    <w:rsid w:val="002102C9"/>
    <w:rsid w:val="0021209B"/>
    <w:rsid w:val="00216F07"/>
    <w:rsid w:val="00220AD5"/>
    <w:rsid w:val="002212F5"/>
    <w:rsid w:val="00242201"/>
    <w:rsid w:val="00245806"/>
    <w:rsid w:val="002472C4"/>
    <w:rsid w:val="00254C77"/>
    <w:rsid w:val="00266AD1"/>
    <w:rsid w:val="002701D8"/>
    <w:rsid w:val="00275F09"/>
    <w:rsid w:val="00284E47"/>
    <w:rsid w:val="00287542"/>
    <w:rsid w:val="00291556"/>
    <w:rsid w:val="00292F34"/>
    <w:rsid w:val="002A163E"/>
    <w:rsid w:val="002A32B4"/>
    <w:rsid w:val="002B2068"/>
    <w:rsid w:val="002B7FAB"/>
    <w:rsid w:val="002C10E9"/>
    <w:rsid w:val="002D1410"/>
    <w:rsid w:val="002D206F"/>
    <w:rsid w:val="002D2AC8"/>
    <w:rsid w:val="002D36D5"/>
    <w:rsid w:val="002E4FFC"/>
    <w:rsid w:val="002E6D31"/>
    <w:rsid w:val="002F2A33"/>
    <w:rsid w:val="003019EA"/>
    <w:rsid w:val="00311250"/>
    <w:rsid w:val="00317B38"/>
    <w:rsid w:val="00322CD1"/>
    <w:rsid w:val="003230E1"/>
    <w:rsid w:val="003234BE"/>
    <w:rsid w:val="00323AF6"/>
    <w:rsid w:val="00332D0D"/>
    <w:rsid w:val="003409EC"/>
    <w:rsid w:val="0034236E"/>
    <w:rsid w:val="0034250B"/>
    <w:rsid w:val="0034346C"/>
    <w:rsid w:val="00343B35"/>
    <w:rsid w:val="003462F7"/>
    <w:rsid w:val="00346A33"/>
    <w:rsid w:val="00350439"/>
    <w:rsid w:val="00355AA3"/>
    <w:rsid w:val="00362221"/>
    <w:rsid w:val="0036326F"/>
    <w:rsid w:val="003660CE"/>
    <w:rsid w:val="00367844"/>
    <w:rsid w:val="0036789D"/>
    <w:rsid w:val="0038012D"/>
    <w:rsid w:val="003811A5"/>
    <w:rsid w:val="0038486B"/>
    <w:rsid w:val="00385CB4"/>
    <w:rsid w:val="00385DAF"/>
    <w:rsid w:val="00393B51"/>
    <w:rsid w:val="00395A70"/>
    <w:rsid w:val="003966BA"/>
    <w:rsid w:val="003A0A72"/>
    <w:rsid w:val="003A5BA6"/>
    <w:rsid w:val="003A5F22"/>
    <w:rsid w:val="003B25D3"/>
    <w:rsid w:val="003B51EE"/>
    <w:rsid w:val="003C1ABB"/>
    <w:rsid w:val="003C3273"/>
    <w:rsid w:val="003C3B67"/>
    <w:rsid w:val="003C4A99"/>
    <w:rsid w:val="003E183C"/>
    <w:rsid w:val="003E2CF0"/>
    <w:rsid w:val="003E4D9F"/>
    <w:rsid w:val="003F4BC7"/>
    <w:rsid w:val="0040622B"/>
    <w:rsid w:val="0040659E"/>
    <w:rsid w:val="004066D1"/>
    <w:rsid w:val="00407A70"/>
    <w:rsid w:val="004112C5"/>
    <w:rsid w:val="00411E05"/>
    <w:rsid w:val="00415DC9"/>
    <w:rsid w:val="00420472"/>
    <w:rsid w:val="00422609"/>
    <w:rsid w:val="00423282"/>
    <w:rsid w:val="00424C06"/>
    <w:rsid w:val="0042599B"/>
    <w:rsid w:val="00427F2F"/>
    <w:rsid w:val="004316B3"/>
    <w:rsid w:val="0044022A"/>
    <w:rsid w:val="00445B80"/>
    <w:rsid w:val="0044694D"/>
    <w:rsid w:val="004470C7"/>
    <w:rsid w:val="00447F1B"/>
    <w:rsid w:val="00451AF8"/>
    <w:rsid w:val="0046024B"/>
    <w:rsid w:val="00463C6A"/>
    <w:rsid w:val="00465404"/>
    <w:rsid w:val="00465D7C"/>
    <w:rsid w:val="004669A4"/>
    <w:rsid w:val="004718C7"/>
    <w:rsid w:val="00471918"/>
    <w:rsid w:val="00476116"/>
    <w:rsid w:val="00477CD9"/>
    <w:rsid w:val="00483679"/>
    <w:rsid w:val="0049250A"/>
    <w:rsid w:val="004958D1"/>
    <w:rsid w:val="004A2113"/>
    <w:rsid w:val="004A39B9"/>
    <w:rsid w:val="004A66F1"/>
    <w:rsid w:val="004C788C"/>
    <w:rsid w:val="004D0AC8"/>
    <w:rsid w:val="004D2AD9"/>
    <w:rsid w:val="004D2B37"/>
    <w:rsid w:val="004D6401"/>
    <w:rsid w:val="004E0869"/>
    <w:rsid w:val="004E39A9"/>
    <w:rsid w:val="004E667D"/>
    <w:rsid w:val="004F0BCC"/>
    <w:rsid w:val="004F1B8E"/>
    <w:rsid w:val="004F2518"/>
    <w:rsid w:val="004F40FE"/>
    <w:rsid w:val="00501DF9"/>
    <w:rsid w:val="00506FA4"/>
    <w:rsid w:val="00510932"/>
    <w:rsid w:val="00510FD8"/>
    <w:rsid w:val="00512AE2"/>
    <w:rsid w:val="00513094"/>
    <w:rsid w:val="005138DA"/>
    <w:rsid w:val="00523E8E"/>
    <w:rsid w:val="00533333"/>
    <w:rsid w:val="00533E4B"/>
    <w:rsid w:val="00540AC0"/>
    <w:rsid w:val="00544418"/>
    <w:rsid w:val="0054555D"/>
    <w:rsid w:val="00551804"/>
    <w:rsid w:val="00551846"/>
    <w:rsid w:val="005530D1"/>
    <w:rsid w:val="00557461"/>
    <w:rsid w:val="00562DA6"/>
    <w:rsid w:val="00571497"/>
    <w:rsid w:val="00572E1F"/>
    <w:rsid w:val="00574687"/>
    <w:rsid w:val="00575B1C"/>
    <w:rsid w:val="00576670"/>
    <w:rsid w:val="00577575"/>
    <w:rsid w:val="00577E63"/>
    <w:rsid w:val="0058383B"/>
    <w:rsid w:val="00584AC4"/>
    <w:rsid w:val="00590F23"/>
    <w:rsid w:val="005948DF"/>
    <w:rsid w:val="00596489"/>
    <w:rsid w:val="005A223C"/>
    <w:rsid w:val="005A4DAE"/>
    <w:rsid w:val="005A5983"/>
    <w:rsid w:val="005B188F"/>
    <w:rsid w:val="005C2289"/>
    <w:rsid w:val="005C569F"/>
    <w:rsid w:val="005D01A6"/>
    <w:rsid w:val="005D15A4"/>
    <w:rsid w:val="005D173F"/>
    <w:rsid w:val="005D18DC"/>
    <w:rsid w:val="005E0578"/>
    <w:rsid w:val="005E1355"/>
    <w:rsid w:val="005E3240"/>
    <w:rsid w:val="006011E0"/>
    <w:rsid w:val="0061192E"/>
    <w:rsid w:val="00616E3E"/>
    <w:rsid w:val="006222B3"/>
    <w:rsid w:val="00625B92"/>
    <w:rsid w:val="00627909"/>
    <w:rsid w:val="00634BCE"/>
    <w:rsid w:val="00634D06"/>
    <w:rsid w:val="00637213"/>
    <w:rsid w:val="00640AE0"/>
    <w:rsid w:val="00645075"/>
    <w:rsid w:val="00651F78"/>
    <w:rsid w:val="0065251E"/>
    <w:rsid w:val="00656DCC"/>
    <w:rsid w:val="006617F6"/>
    <w:rsid w:val="00663A77"/>
    <w:rsid w:val="0066621B"/>
    <w:rsid w:val="006702F2"/>
    <w:rsid w:val="00670ACF"/>
    <w:rsid w:val="006724A3"/>
    <w:rsid w:val="00676882"/>
    <w:rsid w:val="0067708B"/>
    <w:rsid w:val="00681923"/>
    <w:rsid w:val="00683FDB"/>
    <w:rsid w:val="00684449"/>
    <w:rsid w:val="00684628"/>
    <w:rsid w:val="006906B6"/>
    <w:rsid w:val="00693FDC"/>
    <w:rsid w:val="006A186F"/>
    <w:rsid w:val="006B3DD2"/>
    <w:rsid w:val="006C675C"/>
    <w:rsid w:val="006C6778"/>
    <w:rsid w:val="006D458A"/>
    <w:rsid w:val="006E6F21"/>
    <w:rsid w:val="006F1E2B"/>
    <w:rsid w:val="00704121"/>
    <w:rsid w:val="007071A6"/>
    <w:rsid w:val="00720484"/>
    <w:rsid w:val="00721A1B"/>
    <w:rsid w:val="0072273B"/>
    <w:rsid w:val="00724B98"/>
    <w:rsid w:val="00733B83"/>
    <w:rsid w:val="00747716"/>
    <w:rsid w:val="00750AAA"/>
    <w:rsid w:val="0075208C"/>
    <w:rsid w:val="00753595"/>
    <w:rsid w:val="00754A70"/>
    <w:rsid w:val="007558F8"/>
    <w:rsid w:val="00757DBC"/>
    <w:rsid w:val="00761B91"/>
    <w:rsid w:val="00776C42"/>
    <w:rsid w:val="00780A17"/>
    <w:rsid w:val="007858B7"/>
    <w:rsid w:val="00786460"/>
    <w:rsid w:val="00792921"/>
    <w:rsid w:val="00796793"/>
    <w:rsid w:val="007A06C5"/>
    <w:rsid w:val="007A474C"/>
    <w:rsid w:val="007B22C7"/>
    <w:rsid w:val="007B410E"/>
    <w:rsid w:val="007C75AA"/>
    <w:rsid w:val="007C7F9E"/>
    <w:rsid w:val="007D64F4"/>
    <w:rsid w:val="007D6AB5"/>
    <w:rsid w:val="007D6C8A"/>
    <w:rsid w:val="007E0924"/>
    <w:rsid w:val="007E4B3B"/>
    <w:rsid w:val="007E6B0E"/>
    <w:rsid w:val="007E6C68"/>
    <w:rsid w:val="007F38AE"/>
    <w:rsid w:val="00804AFD"/>
    <w:rsid w:val="00813759"/>
    <w:rsid w:val="0081445D"/>
    <w:rsid w:val="0081523B"/>
    <w:rsid w:val="00822FCD"/>
    <w:rsid w:val="00827F0B"/>
    <w:rsid w:val="008312CE"/>
    <w:rsid w:val="00837394"/>
    <w:rsid w:val="00841E19"/>
    <w:rsid w:val="00843BD4"/>
    <w:rsid w:val="00843D1B"/>
    <w:rsid w:val="00852791"/>
    <w:rsid w:val="00865D4D"/>
    <w:rsid w:val="00877E70"/>
    <w:rsid w:val="008A041E"/>
    <w:rsid w:val="008A0BAF"/>
    <w:rsid w:val="008A31BB"/>
    <w:rsid w:val="008A4381"/>
    <w:rsid w:val="008C08DC"/>
    <w:rsid w:val="008C22F3"/>
    <w:rsid w:val="008C327C"/>
    <w:rsid w:val="008C366F"/>
    <w:rsid w:val="008C465C"/>
    <w:rsid w:val="008C52E8"/>
    <w:rsid w:val="008C596C"/>
    <w:rsid w:val="008C5B75"/>
    <w:rsid w:val="008C6B2A"/>
    <w:rsid w:val="008D2395"/>
    <w:rsid w:val="008D23A7"/>
    <w:rsid w:val="008D3388"/>
    <w:rsid w:val="008E1C86"/>
    <w:rsid w:val="008E2443"/>
    <w:rsid w:val="008E37B0"/>
    <w:rsid w:val="008E63E8"/>
    <w:rsid w:val="008E67A9"/>
    <w:rsid w:val="008F25D6"/>
    <w:rsid w:val="008F7E9A"/>
    <w:rsid w:val="00900BBB"/>
    <w:rsid w:val="00901613"/>
    <w:rsid w:val="00901960"/>
    <w:rsid w:val="00907342"/>
    <w:rsid w:val="0091300E"/>
    <w:rsid w:val="009153FB"/>
    <w:rsid w:val="0091604D"/>
    <w:rsid w:val="009221BC"/>
    <w:rsid w:val="00923CC4"/>
    <w:rsid w:val="009474DA"/>
    <w:rsid w:val="00952941"/>
    <w:rsid w:val="009542A2"/>
    <w:rsid w:val="00956EC7"/>
    <w:rsid w:val="00963F6F"/>
    <w:rsid w:val="009671E0"/>
    <w:rsid w:val="00977610"/>
    <w:rsid w:val="009847CB"/>
    <w:rsid w:val="009A25E6"/>
    <w:rsid w:val="009A33FA"/>
    <w:rsid w:val="009B2356"/>
    <w:rsid w:val="009C0BE6"/>
    <w:rsid w:val="009C1F1C"/>
    <w:rsid w:val="009C6A8C"/>
    <w:rsid w:val="009D16C5"/>
    <w:rsid w:val="009E25F2"/>
    <w:rsid w:val="009F15CA"/>
    <w:rsid w:val="009F6D8F"/>
    <w:rsid w:val="00A06935"/>
    <w:rsid w:val="00A10370"/>
    <w:rsid w:val="00A135FF"/>
    <w:rsid w:val="00A14FDA"/>
    <w:rsid w:val="00A21C1C"/>
    <w:rsid w:val="00A225DA"/>
    <w:rsid w:val="00A2410F"/>
    <w:rsid w:val="00A273B4"/>
    <w:rsid w:val="00A330B5"/>
    <w:rsid w:val="00A36400"/>
    <w:rsid w:val="00A43EFE"/>
    <w:rsid w:val="00A45D32"/>
    <w:rsid w:val="00A5086E"/>
    <w:rsid w:val="00A5698A"/>
    <w:rsid w:val="00A67F42"/>
    <w:rsid w:val="00A70651"/>
    <w:rsid w:val="00A758CA"/>
    <w:rsid w:val="00A8148B"/>
    <w:rsid w:val="00A815F7"/>
    <w:rsid w:val="00A83164"/>
    <w:rsid w:val="00A838CA"/>
    <w:rsid w:val="00A92DC4"/>
    <w:rsid w:val="00A945F9"/>
    <w:rsid w:val="00AA2268"/>
    <w:rsid w:val="00AB5303"/>
    <w:rsid w:val="00AB7B04"/>
    <w:rsid w:val="00AC10AF"/>
    <w:rsid w:val="00AC26E5"/>
    <w:rsid w:val="00AC2FD8"/>
    <w:rsid w:val="00AC7C0F"/>
    <w:rsid w:val="00AD252B"/>
    <w:rsid w:val="00AE37B2"/>
    <w:rsid w:val="00AE3A35"/>
    <w:rsid w:val="00AE7D41"/>
    <w:rsid w:val="00AF12C9"/>
    <w:rsid w:val="00AF4D34"/>
    <w:rsid w:val="00B02441"/>
    <w:rsid w:val="00B04C44"/>
    <w:rsid w:val="00B21FAD"/>
    <w:rsid w:val="00B27A6C"/>
    <w:rsid w:val="00B346FE"/>
    <w:rsid w:val="00B3645E"/>
    <w:rsid w:val="00B428D8"/>
    <w:rsid w:val="00B448E7"/>
    <w:rsid w:val="00B44B06"/>
    <w:rsid w:val="00B50095"/>
    <w:rsid w:val="00B5027C"/>
    <w:rsid w:val="00B50D28"/>
    <w:rsid w:val="00B6093F"/>
    <w:rsid w:val="00B65480"/>
    <w:rsid w:val="00B65D8E"/>
    <w:rsid w:val="00B72B77"/>
    <w:rsid w:val="00B82A3C"/>
    <w:rsid w:val="00B85657"/>
    <w:rsid w:val="00B871F3"/>
    <w:rsid w:val="00BA7E37"/>
    <w:rsid w:val="00BB2015"/>
    <w:rsid w:val="00BB5B04"/>
    <w:rsid w:val="00BB6FE5"/>
    <w:rsid w:val="00BC05A0"/>
    <w:rsid w:val="00BC1944"/>
    <w:rsid w:val="00BC6436"/>
    <w:rsid w:val="00BD351B"/>
    <w:rsid w:val="00BD3887"/>
    <w:rsid w:val="00BD5E94"/>
    <w:rsid w:val="00BD7462"/>
    <w:rsid w:val="00BD7EDB"/>
    <w:rsid w:val="00BE04B8"/>
    <w:rsid w:val="00BE19F6"/>
    <w:rsid w:val="00BE3686"/>
    <w:rsid w:val="00BE3C7E"/>
    <w:rsid w:val="00BE5077"/>
    <w:rsid w:val="00BE581B"/>
    <w:rsid w:val="00BF0B4E"/>
    <w:rsid w:val="00BF4304"/>
    <w:rsid w:val="00BF4D1E"/>
    <w:rsid w:val="00BF7D1E"/>
    <w:rsid w:val="00C019A7"/>
    <w:rsid w:val="00C02A87"/>
    <w:rsid w:val="00C04F5C"/>
    <w:rsid w:val="00C06C33"/>
    <w:rsid w:val="00C13C02"/>
    <w:rsid w:val="00C17D5E"/>
    <w:rsid w:val="00C21A21"/>
    <w:rsid w:val="00C222E9"/>
    <w:rsid w:val="00C3088B"/>
    <w:rsid w:val="00C30A37"/>
    <w:rsid w:val="00C32D69"/>
    <w:rsid w:val="00C51FB7"/>
    <w:rsid w:val="00C62372"/>
    <w:rsid w:val="00C6606F"/>
    <w:rsid w:val="00C66B5E"/>
    <w:rsid w:val="00C70169"/>
    <w:rsid w:val="00C7585A"/>
    <w:rsid w:val="00C77A79"/>
    <w:rsid w:val="00C8513B"/>
    <w:rsid w:val="00C86CA0"/>
    <w:rsid w:val="00C9089D"/>
    <w:rsid w:val="00C92F3F"/>
    <w:rsid w:val="00C94090"/>
    <w:rsid w:val="00CA4AB9"/>
    <w:rsid w:val="00CA554A"/>
    <w:rsid w:val="00CA6A7E"/>
    <w:rsid w:val="00CB2767"/>
    <w:rsid w:val="00CB3C94"/>
    <w:rsid w:val="00CB3D67"/>
    <w:rsid w:val="00CB54E6"/>
    <w:rsid w:val="00CB5B57"/>
    <w:rsid w:val="00CC2F3C"/>
    <w:rsid w:val="00CC6423"/>
    <w:rsid w:val="00CC7949"/>
    <w:rsid w:val="00CD0E67"/>
    <w:rsid w:val="00CD36CE"/>
    <w:rsid w:val="00CE402D"/>
    <w:rsid w:val="00CE695A"/>
    <w:rsid w:val="00CF0C85"/>
    <w:rsid w:val="00CF724A"/>
    <w:rsid w:val="00D03557"/>
    <w:rsid w:val="00D04634"/>
    <w:rsid w:val="00D0689C"/>
    <w:rsid w:val="00D219EB"/>
    <w:rsid w:val="00D22581"/>
    <w:rsid w:val="00D22C04"/>
    <w:rsid w:val="00D232E9"/>
    <w:rsid w:val="00D237E0"/>
    <w:rsid w:val="00D26A49"/>
    <w:rsid w:val="00D27834"/>
    <w:rsid w:val="00D31F1E"/>
    <w:rsid w:val="00D3320D"/>
    <w:rsid w:val="00D34861"/>
    <w:rsid w:val="00D37832"/>
    <w:rsid w:val="00D416BC"/>
    <w:rsid w:val="00D42AA3"/>
    <w:rsid w:val="00D45007"/>
    <w:rsid w:val="00D637EF"/>
    <w:rsid w:val="00D639EE"/>
    <w:rsid w:val="00D67A19"/>
    <w:rsid w:val="00D67D3F"/>
    <w:rsid w:val="00D80E10"/>
    <w:rsid w:val="00D825D7"/>
    <w:rsid w:val="00D849F5"/>
    <w:rsid w:val="00D85070"/>
    <w:rsid w:val="00D92E39"/>
    <w:rsid w:val="00D959B6"/>
    <w:rsid w:val="00DA26B8"/>
    <w:rsid w:val="00DA434B"/>
    <w:rsid w:val="00DA5ACD"/>
    <w:rsid w:val="00DA74BB"/>
    <w:rsid w:val="00DB07C1"/>
    <w:rsid w:val="00DB0E08"/>
    <w:rsid w:val="00DB6CAC"/>
    <w:rsid w:val="00DD2B91"/>
    <w:rsid w:val="00DD700E"/>
    <w:rsid w:val="00DD7B92"/>
    <w:rsid w:val="00DE466C"/>
    <w:rsid w:val="00DF55DC"/>
    <w:rsid w:val="00E1227F"/>
    <w:rsid w:val="00E148FC"/>
    <w:rsid w:val="00E17719"/>
    <w:rsid w:val="00E2090B"/>
    <w:rsid w:val="00E22979"/>
    <w:rsid w:val="00E31469"/>
    <w:rsid w:val="00E3242F"/>
    <w:rsid w:val="00E34764"/>
    <w:rsid w:val="00E35ACC"/>
    <w:rsid w:val="00E37891"/>
    <w:rsid w:val="00E416C2"/>
    <w:rsid w:val="00E53249"/>
    <w:rsid w:val="00E6387E"/>
    <w:rsid w:val="00E63DAD"/>
    <w:rsid w:val="00E66AD3"/>
    <w:rsid w:val="00E71146"/>
    <w:rsid w:val="00E71CB9"/>
    <w:rsid w:val="00E7443C"/>
    <w:rsid w:val="00E75373"/>
    <w:rsid w:val="00E778F2"/>
    <w:rsid w:val="00E77FCC"/>
    <w:rsid w:val="00E905EA"/>
    <w:rsid w:val="00E968CF"/>
    <w:rsid w:val="00EA47BE"/>
    <w:rsid w:val="00EB1558"/>
    <w:rsid w:val="00EB1AE7"/>
    <w:rsid w:val="00EB3469"/>
    <w:rsid w:val="00EB3586"/>
    <w:rsid w:val="00EB3CC6"/>
    <w:rsid w:val="00EB6229"/>
    <w:rsid w:val="00EB6B1E"/>
    <w:rsid w:val="00EB6C2F"/>
    <w:rsid w:val="00EB6CD0"/>
    <w:rsid w:val="00EC1BDE"/>
    <w:rsid w:val="00EC1D6A"/>
    <w:rsid w:val="00ED2F1F"/>
    <w:rsid w:val="00ED4439"/>
    <w:rsid w:val="00EE59F2"/>
    <w:rsid w:val="00EF3150"/>
    <w:rsid w:val="00EF3F3A"/>
    <w:rsid w:val="00F03A39"/>
    <w:rsid w:val="00F043F8"/>
    <w:rsid w:val="00F06674"/>
    <w:rsid w:val="00F11089"/>
    <w:rsid w:val="00F1204E"/>
    <w:rsid w:val="00F12BED"/>
    <w:rsid w:val="00F155CB"/>
    <w:rsid w:val="00F22A13"/>
    <w:rsid w:val="00F24D4C"/>
    <w:rsid w:val="00F24F77"/>
    <w:rsid w:val="00F24FE8"/>
    <w:rsid w:val="00F266F8"/>
    <w:rsid w:val="00F31B1B"/>
    <w:rsid w:val="00F32E70"/>
    <w:rsid w:val="00F33E8B"/>
    <w:rsid w:val="00F37D6B"/>
    <w:rsid w:val="00F42E58"/>
    <w:rsid w:val="00F44310"/>
    <w:rsid w:val="00F471D8"/>
    <w:rsid w:val="00F64547"/>
    <w:rsid w:val="00F65AB2"/>
    <w:rsid w:val="00F6683E"/>
    <w:rsid w:val="00F70CFA"/>
    <w:rsid w:val="00F73DFF"/>
    <w:rsid w:val="00F80D4B"/>
    <w:rsid w:val="00F837EB"/>
    <w:rsid w:val="00F85A30"/>
    <w:rsid w:val="00F87BE7"/>
    <w:rsid w:val="00F92050"/>
    <w:rsid w:val="00F920C4"/>
    <w:rsid w:val="00FA3595"/>
    <w:rsid w:val="00FA70B6"/>
    <w:rsid w:val="00FB50DE"/>
    <w:rsid w:val="00FC33EF"/>
    <w:rsid w:val="00FD4B63"/>
    <w:rsid w:val="00FD4E90"/>
    <w:rsid w:val="00FE3C8F"/>
    <w:rsid w:val="00FE4189"/>
    <w:rsid w:val="00FE4C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9878B"/>
  <w15:chartTrackingRefBased/>
  <w15:docId w15:val="{E894AE9A-207E-9948-AF92-4A6EC917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before="100" w:after="100"/>
    </w:pPr>
    <w:rPr>
      <w:sz w:val="24"/>
      <w:lang w:eastAsia="ar-SA"/>
    </w:rPr>
  </w:style>
  <w:style w:type="paragraph" w:styleId="Titre1">
    <w:name w:val="heading 1"/>
    <w:basedOn w:val="Normal"/>
    <w:next w:val="Normal"/>
    <w:qFormat/>
    <w:pPr>
      <w:keepNext/>
      <w:numPr>
        <w:numId w:val="1"/>
      </w:numPr>
      <w:jc w:val="center"/>
      <w:outlineLvl w:val="0"/>
    </w:pPr>
    <w:rPr>
      <w:rFonts w:ascii="Arial" w:hAnsi="Arial" w:cs="Arial"/>
      <w:szCs w:val="28"/>
    </w:rPr>
  </w:style>
  <w:style w:type="paragraph" w:styleId="Titre2">
    <w:name w:val="heading 2"/>
    <w:basedOn w:val="Normal"/>
    <w:next w:val="Normal"/>
    <w:qFormat/>
    <w:pPr>
      <w:keepNext/>
      <w:numPr>
        <w:ilvl w:val="1"/>
        <w:numId w:val="1"/>
      </w:numPr>
      <w:jc w:val="center"/>
      <w:outlineLvl w:val="1"/>
    </w:pPr>
    <w:rPr>
      <w:rFonts w:ascii="Arial" w:hAnsi="Arial" w:cs="Arial"/>
      <w:szCs w:val="28"/>
    </w:rPr>
  </w:style>
  <w:style w:type="paragraph" w:styleId="Titre3">
    <w:name w:val="heading 3"/>
    <w:basedOn w:val="Normal"/>
    <w:next w:val="Normal"/>
    <w:qFormat/>
    <w:pPr>
      <w:keepNext/>
      <w:numPr>
        <w:ilvl w:val="2"/>
        <w:numId w:val="1"/>
      </w:numPr>
      <w:jc w:val="center"/>
      <w:outlineLvl w:val="2"/>
    </w:pPr>
    <w:rPr>
      <w:rFonts w:ascii="Arial" w:hAnsi="Arial" w:cs="Arial"/>
      <w:b/>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8Num36z0">
    <w:name w:val="WW8Num36z0"/>
    <w:rPr>
      <w:rFonts w:ascii="Times New Roman" w:hAnsi="Times New Roman"/>
      <w:sz w:val="16"/>
    </w:rPr>
  </w:style>
  <w:style w:type="character" w:customStyle="1" w:styleId="WW8Num37z0">
    <w:name w:val="WW8Num37z0"/>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Symbol" w:hAnsi="Symbol"/>
    </w:rPr>
  </w:style>
  <w:style w:type="character" w:customStyle="1" w:styleId="WW8Num41z0">
    <w:name w:val="WW8Num41z0"/>
    <w:rPr>
      <w:b/>
    </w:rPr>
  </w:style>
  <w:style w:type="character" w:customStyle="1" w:styleId="WW8Num42z0">
    <w:name w:val="WW8Num42z0"/>
    <w:rPr>
      <w:rFonts w:ascii="Times New Roman" w:eastAsia="Times New Roman" w:hAnsi="Times New Roman" w:cs="Times New Roman"/>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Symbol" w:hAnsi="Symbol"/>
    </w:rPr>
  </w:style>
  <w:style w:type="character" w:customStyle="1" w:styleId="WW8Num43z1">
    <w:name w:val="WW8Num43z1"/>
    <w:rPr>
      <w:rFonts w:ascii="Times New Roman" w:eastAsia="Times New Roman" w:hAnsi="Times New Roman" w:cs="Times New Roman"/>
    </w:rPr>
  </w:style>
  <w:style w:type="character" w:customStyle="1" w:styleId="WW8Num43z2">
    <w:name w:val="WW8Num43z2"/>
    <w:rPr>
      <w:rFonts w:ascii="Wingdings" w:hAnsi="Wingdings"/>
    </w:rPr>
  </w:style>
  <w:style w:type="character" w:customStyle="1" w:styleId="WW8Num43z4">
    <w:name w:val="WW8Num43z4"/>
    <w:rPr>
      <w:rFonts w:ascii="Courier New" w:hAnsi="Courier New"/>
    </w:rPr>
  </w:style>
  <w:style w:type="character" w:customStyle="1" w:styleId="WW8NumSt32z0">
    <w:name w:val="WW8NumSt32z0"/>
    <w:rPr>
      <w:rFonts w:ascii="Symbol" w:hAnsi="Symbol"/>
    </w:rPr>
  </w:style>
  <w:style w:type="character" w:customStyle="1" w:styleId="WW8NumSt38z0">
    <w:name w:val="WW8NumSt38z0"/>
    <w:rPr>
      <w:rFonts w:ascii="Symbol" w:hAnsi="Symbol"/>
    </w:rPr>
  </w:style>
  <w:style w:type="character" w:customStyle="1" w:styleId="Policepardfaut1">
    <w:name w:val="Police par défaut1"/>
  </w:style>
  <w:style w:type="character" w:customStyle="1" w:styleId="Definition">
    <w:name w:val="Definition"/>
    <w:rPr>
      <w:i/>
    </w:rPr>
  </w:style>
  <w:style w:type="character" w:customStyle="1" w:styleId="CITE">
    <w:name w:val="CITE"/>
    <w:rPr>
      <w:i/>
    </w:rPr>
  </w:style>
  <w:style w:type="character" w:customStyle="1" w:styleId="CODE">
    <w:name w:val="CODE"/>
    <w:rPr>
      <w:rFonts w:ascii="Courier New" w:hAnsi="Courier New"/>
      <w:sz w:val="20"/>
    </w:rPr>
  </w:style>
  <w:style w:type="character" w:styleId="Accentuation">
    <w:name w:val="Emphasis"/>
    <w:qFormat/>
    <w:rPr>
      <w:i/>
    </w:r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character" w:customStyle="1" w:styleId="Keyboard">
    <w:name w:val="Keyboard"/>
    <w:rPr>
      <w:rFonts w:ascii="Courier New" w:hAnsi="Courier New"/>
      <w:b/>
      <w:sz w:val="20"/>
    </w:rPr>
  </w:style>
  <w:style w:type="character" w:customStyle="1" w:styleId="Sample">
    <w:name w:val="Sample"/>
    <w:rPr>
      <w:rFonts w:ascii="Courier New" w:hAnsi="Courier New"/>
    </w:rPr>
  </w:style>
  <w:style w:type="character" w:styleId="lev">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styleId="Numrodepage">
    <w:name w:val="page number"/>
    <w:basedOn w:val="Policepardfaut1"/>
    <w:semiHidden/>
  </w:style>
  <w:style w:type="character" w:customStyle="1" w:styleId="Caractresdenotedebasdepage">
    <w:name w:val="Caractères de note de bas de page"/>
    <w:rPr>
      <w:position w:val="3"/>
      <w:sz w:val="16"/>
    </w:rPr>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ascii="Arial" w:eastAsia="MS Mincho" w:hAnsi="Arial" w:cs="Tahoma"/>
      <w:sz w:val="28"/>
      <w:szCs w:val="28"/>
    </w:rPr>
  </w:style>
  <w:style w:type="paragraph" w:styleId="Corpsdetexte">
    <w:name w:val="Body Text"/>
    <w:basedOn w:val="Normal"/>
    <w:semiHidden/>
    <w:pPr>
      <w:spacing w:before="0" w:after="120"/>
    </w:pPr>
  </w:style>
  <w:style w:type="paragraph" w:styleId="Liste">
    <w:name w:val="List"/>
    <w:basedOn w:val="Corpsdetexte"/>
    <w:semiHidden/>
    <w:rPr>
      <w:rFonts w:cs="Tahoma"/>
    </w:rPr>
  </w:style>
  <w:style w:type="paragraph" w:customStyle="1" w:styleId="Lgende1">
    <w:name w:val="Légende1"/>
    <w:basedOn w:val="Normal"/>
    <w:next w:val="Normal"/>
    <w:pPr>
      <w:jc w:val="center"/>
    </w:pPr>
    <w:rPr>
      <w:rFonts w:ascii="Arial" w:hAnsi="Arial" w:cs="Arial"/>
    </w:rPr>
  </w:style>
  <w:style w:type="paragraph" w:customStyle="1" w:styleId="Rpertoire">
    <w:name w:val="Répertoire"/>
    <w:basedOn w:val="Normal"/>
    <w:pPr>
      <w:suppressLineNumbers/>
    </w:pPr>
    <w:rPr>
      <w:rFonts w:cs="Tahoma"/>
    </w:rPr>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paragraph" w:customStyle="1" w:styleId="H1">
    <w:name w:val="H1"/>
    <w:basedOn w:val="Normal"/>
    <w:next w:val="Normal"/>
    <w:pPr>
      <w:keepNext/>
    </w:pPr>
    <w:rPr>
      <w:b/>
      <w:kern w:val="1"/>
      <w:sz w:val="48"/>
    </w:rPr>
  </w:style>
  <w:style w:type="paragraph" w:customStyle="1" w:styleId="H2">
    <w:name w:val="H2"/>
    <w:basedOn w:val="Normal"/>
    <w:next w:val="Normal"/>
    <w:pPr>
      <w:keepNext/>
    </w:pPr>
    <w:rPr>
      <w:b/>
      <w:sz w:val="36"/>
    </w:rPr>
  </w:style>
  <w:style w:type="paragraph" w:customStyle="1" w:styleId="H3">
    <w:name w:val="H3"/>
    <w:basedOn w:val="Normal"/>
    <w:next w:val="Normal"/>
    <w:pPr>
      <w:keepNext/>
    </w:pPr>
    <w:rPr>
      <w:b/>
      <w:sz w:val="28"/>
    </w:rPr>
  </w:style>
  <w:style w:type="paragraph" w:customStyle="1" w:styleId="H4">
    <w:name w:val="H4"/>
    <w:basedOn w:val="Normal"/>
    <w:next w:val="Normal"/>
    <w:pPr>
      <w:keepNext/>
    </w:pPr>
    <w:rPr>
      <w:b/>
    </w:rPr>
  </w:style>
  <w:style w:type="paragraph" w:customStyle="1" w:styleId="H5">
    <w:name w:val="H5"/>
    <w:basedOn w:val="Normal"/>
    <w:next w:val="Normal"/>
    <w:pPr>
      <w:keepNext/>
    </w:pPr>
    <w:rPr>
      <w:b/>
      <w:sz w:val="20"/>
    </w:rPr>
  </w:style>
  <w:style w:type="paragraph" w:customStyle="1" w:styleId="H6">
    <w:name w:val="H6"/>
    <w:basedOn w:val="Normal"/>
    <w:next w:val="Normal"/>
    <w:pPr>
      <w:keepNext/>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asduformulaire">
    <w:name w:val="HTML Bottom of Form"/>
    <w:next w:val="Normal"/>
    <w:pPr>
      <w:widowControl w:val="0"/>
      <w:pBdr>
        <w:top w:val="double" w:sz="1" w:space="0" w:color="000000"/>
      </w:pBdr>
      <w:suppressAutoHyphens/>
      <w:jc w:val="center"/>
    </w:pPr>
    <w:rPr>
      <w:rFonts w:ascii="Arial" w:eastAsia="Arial" w:hAnsi="Arial"/>
      <w:vanish/>
      <w:sz w:val="16"/>
      <w:lang w:val="en-US" w:eastAsia="ar-SA"/>
    </w:rPr>
  </w:style>
  <w:style w:type="paragraph" w:styleId="z-Hautduformulaire">
    <w:name w:val="HTML Top of Form"/>
    <w:next w:val="Normal"/>
    <w:pPr>
      <w:widowControl w:val="0"/>
      <w:pBdr>
        <w:bottom w:val="double" w:sz="1" w:space="0" w:color="000000"/>
      </w:pBdr>
      <w:suppressAutoHyphens/>
      <w:jc w:val="center"/>
    </w:pPr>
    <w:rPr>
      <w:rFonts w:ascii="Arial" w:eastAsia="Arial" w:hAnsi="Arial"/>
      <w:vanish/>
      <w:sz w:val="16"/>
      <w:lang w:val="en-US" w:eastAsia="ar-SA"/>
    </w:rPr>
  </w:style>
  <w:style w:type="paragraph" w:customStyle="1" w:styleId="Explorateurdedocument">
    <w:name w:val="Explorateur de document"/>
    <w:basedOn w:val="Normal"/>
    <w:pPr>
      <w:shd w:val="clear" w:color="auto" w:fill="000080"/>
    </w:pPr>
  </w:style>
  <w:style w:type="paragraph" w:styleId="En-tte">
    <w:name w:val="header"/>
    <w:basedOn w:val="Normal"/>
    <w:link w:val="En-tteCar"/>
    <w:uiPriority w:val="99"/>
    <w:semiHidden/>
    <w:pPr>
      <w:tabs>
        <w:tab w:val="center" w:pos="4320"/>
        <w:tab w:val="right" w:pos="8640"/>
      </w:tabs>
    </w:pPr>
  </w:style>
  <w:style w:type="paragraph" w:styleId="Pieddepage">
    <w:name w:val="footer"/>
    <w:basedOn w:val="Normal"/>
    <w:semiHidden/>
    <w:pPr>
      <w:tabs>
        <w:tab w:val="center" w:pos="4320"/>
        <w:tab w:val="right" w:pos="8640"/>
      </w:tabs>
    </w:pPr>
  </w:style>
  <w:style w:type="paragraph" w:styleId="Notedebasdepage">
    <w:name w:val="footnote text"/>
    <w:basedOn w:val="Normal"/>
    <w:next w:val="Normal"/>
    <w:link w:val="NotedebasdepageCar"/>
    <w:semiHidden/>
    <w:pPr>
      <w:keepNext/>
      <w:widowControl/>
      <w:tabs>
        <w:tab w:val="left" w:pos="960"/>
      </w:tabs>
      <w:spacing w:line="264" w:lineRule="auto"/>
      <w:ind w:left="240" w:hanging="240"/>
      <w:jc w:val="both"/>
    </w:pPr>
    <w:rPr>
      <w:rFonts w:ascii="Arial" w:hAnsi="Arial" w:cs="Arial"/>
      <w:bCs/>
      <w:sz w:val="18"/>
    </w:rPr>
  </w:style>
  <w:style w:type="paragraph" w:customStyle="1" w:styleId="Paragraphenumchiffre">
    <w:name w:val="Paragraphe numchiffre"/>
    <w:basedOn w:val="Normal"/>
    <w:pPr>
      <w:widowControl/>
      <w:numPr>
        <w:numId w:val="2"/>
      </w:numPr>
      <w:spacing w:after="120" w:line="264" w:lineRule="auto"/>
      <w:jc w:val="both"/>
    </w:pPr>
    <w:rPr>
      <w:rFonts w:ascii="Arial" w:hAnsi="Arial"/>
      <w:sz w:val="20"/>
      <w:szCs w:val="24"/>
    </w:rPr>
  </w:style>
  <w:style w:type="paragraph" w:styleId="NormalWeb">
    <w:name w:val="Normal (Web)"/>
    <w:basedOn w:val="Normal"/>
    <w:pPr>
      <w:widowControl/>
      <w:spacing w:before="120" w:after="120" w:line="300" w:lineRule="atLeast"/>
    </w:pPr>
    <w:rPr>
      <w:rFonts w:ascii="Arial Unicode MS" w:eastAsia="Arial Unicode MS" w:hAnsi="Arial Unicode MS" w:cs="Arial Unicode MS"/>
      <w:szCs w:val="24"/>
    </w:rPr>
  </w:style>
  <w:style w:type="paragraph" w:customStyle="1" w:styleId="Corpsdetexte21">
    <w:name w:val="Corps de texte 21"/>
    <w:basedOn w:val="Normal"/>
    <w:pPr>
      <w:widowControl/>
      <w:spacing w:before="0" w:after="0"/>
      <w:jc w:val="both"/>
    </w:pPr>
    <w:rPr>
      <w:rFonts w:ascii="Arial" w:hAnsi="Arial"/>
      <w:b/>
      <w:sz w:val="22"/>
      <w:szCs w:val="22"/>
    </w:rPr>
  </w:style>
  <w:style w:type="character" w:customStyle="1" w:styleId="En-tteCar">
    <w:name w:val="En-tête Car"/>
    <w:link w:val="En-tte"/>
    <w:uiPriority w:val="99"/>
    <w:semiHidden/>
    <w:rsid w:val="00A67F42"/>
    <w:rPr>
      <w:sz w:val="24"/>
      <w:lang w:val="en-US" w:eastAsia="ar-SA"/>
    </w:rPr>
  </w:style>
  <w:style w:type="character" w:styleId="Marquedecommentaire">
    <w:name w:val="annotation reference"/>
    <w:uiPriority w:val="99"/>
    <w:semiHidden/>
    <w:unhideWhenUsed/>
    <w:rsid w:val="00A06935"/>
    <w:rPr>
      <w:sz w:val="16"/>
      <w:szCs w:val="16"/>
    </w:rPr>
  </w:style>
  <w:style w:type="paragraph" w:styleId="Commentaire">
    <w:name w:val="annotation text"/>
    <w:basedOn w:val="Normal"/>
    <w:link w:val="CommentaireCar"/>
    <w:uiPriority w:val="99"/>
    <w:semiHidden/>
    <w:unhideWhenUsed/>
    <w:rsid w:val="00A06935"/>
    <w:rPr>
      <w:sz w:val="20"/>
    </w:rPr>
  </w:style>
  <w:style w:type="character" w:customStyle="1" w:styleId="CommentaireCar">
    <w:name w:val="Commentaire Car"/>
    <w:link w:val="Commentaire"/>
    <w:uiPriority w:val="99"/>
    <w:semiHidden/>
    <w:rsid w:val="00A06935"/>
    <w:rPr>
      <w:lang w:val="en-US" w:eastAsia="ar-SA"/>
    </w:rPr>
  </w:style>
  <w:style w:type="paragraph" w:styleId="Objetducommentaire">
    <w:name w:val="annotation subject"/>
    <w:basedOn w:val="Commentaire"/>
    <w:next w:val="Commentaire"/>
    <w:link w:val="ObjetducommentaireCar"/>
    <w:uiPriority w:val="99"/>
    <w:semiHidden/>
    <w:unhideWhenUsed/>
    <w:rsid w:val="00A06935"/>
    <w:rPr>
      <w:b/>
      <w:bCs/>
    </w:rPr>
  </w:style>
  <w:style w:type="character" w:customStyle="1" w:styleId="ObjetducommentaireCar">
    <w:name w:val="Objet du commentaire Car"/>
    <w:link w:val="Objetducommentaire"/>
    <w:uiPriority w:val="99"/>
    <w:semiHidden/>
    <w:rsid w:val="00A06935"/>
    <w:rPr>
      <w:b/>
      <w:bCs/>
      <w:lang w:val="en-US" w:eastAsia="ar-SA"/>
    </w:rPr>
  </w:style>
  <w:style w:type="paragraph" w:styleId="Textedebulles">
    <w:name w:val="Balloon Text"/>
    <w:basedOn w:val="Normal"/>
    <w:link w:val="TextedebullesCar"/>
    <w:uiPriority w:val="99"/>
    <w:semiHidden/>
    <w:unhideWhenUsed/>
    <w:rsid w:val="00A06935"/>
    <w:pPr>
      <w:spacing w:before="0" w:after="0"/>
    </w:pPr>
    <w:rPr>
      <w:rFonts w:ascii="Segoe UI" w:hAnsi="Segoe UI" w:cs="Segoe UI"/>
      <w:sz w:val="18"/>
      <w:szCs w:val="18"/>
    </w:rPr>
  </w:style>
  <w:style w:type="character" w:customStyle="1" w:styleId="TextedebullesCar">
    <w:name w:val="Texte de bulles Car"/>
    <w:link w:val="Textedebulles"/>
    <w:uiPriority w:val="99"/>
    <w:semiHidden/>
    <w:rsid w:val="00A06935"/>
    <w:rPr>
      <w:rFonts w:ascii="Segoe UI" w:hAnsi="Segoe UI" w:cs="Segoe UI"/>
      <w:sz w:val="18"/>
      <w:szCs w:val="18"/>
      <w:lang w:val="en-US" w:eastAsia="ar-SA"/>
    </w:rPr>
  </w:style>
  <w:style w:type="character" w:styleId="Appelnotedebasdep">
    <w:name w:val="footnote reference"/>
    <w:semiHidden/>
    <w:rsid w:val="00E968CF"/>
    <w:rPr>
      <w:vertAlign w:val="superscript"/>
    </w:rPr>
  </w:style>
  <w:style w:type="character" w:customStyle="1" w:styleId="NotedebasdepageCar">
    <w:name w:val="Note de bas de page Car"/>
    <w:link w:val="Notedebasdepage"/>
    <w:semiHidden/>
    <w:rsid w:val="00E968CF"/>
    <w:rPr>
      <w:rFonts w:ascii="Arial" w:hAnsi="Arial" w:cs="Arial"/>
      <w:bCs/>
      <w:sz w:val="18"/>
      <w:lang w:eastAsia="ar-SA"/>
    </w:rPr>
  </w:style>
  <w:style w:type="paragraph" w:customStyle="1" w:styleId="BankNormal">
    <w:name w:val="BankNormal"/>
    <w:basedOn w:val="Normal"/>
    <w:rsid w:val="00E968CF"/>
    <w:pPr>
      <w:widowControl/>
      <w:suppressAutoHyphens w:val="0"/>
      <w:spacing w:before="0" w:after="240"/>
    </w:pPr>
    <w:rPr>
      <w:lang w:eastAsia="fr-FR"/>
    </w:rPr>
  </w:style>
  <w:style w:type="character" w:styleId="Mentionnonrsolue">
    <w:name w:val="Unresolved Mention"/>
    <w:basedOn w:val="Policepardfaut"/>
    <w:uiPriority w:val="99"/>
    <w:semiHidden/>
    <w:unhideWhenUsed/>
    <w:rsid w:val="00F37D6B"/>
    <w:rPr>
      <w:color w:val="605E5C"/>
      <w:shd w:val="clear" w:color="auto" w:fill="E1DFDD"/>
    </w:rPr>
  </w:style>
  <w:style w:type="paragraph" w:styleId="Paragraphedeliste">
    <w:name w:val="List Paragraph"/>
    <w:aliases w:val="Citation List,본문(내용),List Paragraph (numbered (a)),Colorful List - Accent 11,Bullets,- List tir,liste 1,puce 1,Puces,References,Liste 1,Paragraphe  revu,Numbered List Paragraph,ReferencesCxSpLast,Bullet L1,Medium Grid 1 - Accent 21"/>
    <w:basedOn w:val="Normal"/>
    <w:link w:val="ParagraphedelisteCar"/>
    <w:uiPriority w:val="34"/>
    <w:qFormat/>
    <w:rsid w:val="00F1204E"/>
    <w:pPr>
      <w:widowControl/>
      <w:suppressAutoHyphens w:val="0"/>
      <w:spacing w:before="0" w:after="0"/>
      <w:ind w:left="708"/>
    </w:pPr>
    <w:rPr>
      <w:lang w:eastAsia="en-US"/>
    </w:rPr>
  </w:style>
  <w:style w:type="character" w:customStyle="1" w:styleId="ParagraphedelisteCar">
    <w:name w:val="Paragraphe de liste Car"/>
    <w:aliases w:val="Citation List Car,본문(내용) Car,List Paragraph (numbered (a)) Car,Colorful List - Accent 11 Car,Bullets Car,- List tir Car,liste 1 Car,puce 1 Car,Puces Car,References Car,Liste 1 Car,Paragraphe  revu Car,Numbered List Paragraph Car"/>
    <w:basedOn w:val="Policepardfaut"/>
    <w:link w:val="Paragraphedeliste"/>
    <w:uiPriority w:val="34"/>
    <w:qFormat/>
    <w:rsid w:val="00F1204E"/>
    <w:rPr>
      <w:sz w:val="24"/>
      <w:lang w:eastAsia="en-US"/>
    </w:rPr>
  </w:style>
  <w:style w:type="paragraph" w:styleId="Rvision">
    <w:name w:val="Revision"/>
    <w:hidden/>
    <w:uiPriority w:val="99"/>
    <w:semiHidden/>
    <w:rsid w:val="001C315E"/>
    <w:rPr>
      <w:sz w:val="24"/>
      <w:lang w:val="en-US" w:eastAsia="ar-SA"/>
    </w:rPr>
  </w:style>
  <w:style w:type="paragraph" w:customStyle="1" w:styleId="Default">
    <w:name w:val="Default"/>
    <w:rsid w:val="0042047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6667">
      <w:bodyDiv w:val="1"/>
      <w:marLeft w:val="0"/>
      <w:marRight w:val="0"/>
      <w:marTop w:val="0"/>
      <w:marBottom w:val="0"/>
      <w:divBdr>
        <w:top w:val="none" w:sz="0" w:space="0" w:color="auto"/>
        <w:left w:val="none" w:sz="0" w:space="0" w:color="auto"/>
        <w:bottom w:val="none" w:sz="0" w:space="0" w:color="auto"/>
        <w:right w:val="none" w:sz="0" w:space="0" w:color="auto"/>
      </w:divBdr>
    </w:div>
    <w:div w:id="392774919">
      <w:bodyDiv w:val="1"/>
      <w:marLeft w:val="0"/>
      <w:marRight w:val="0"/>
      <w:marTop w:val="0"/>
      <w:marBottom w:val="0"/>
      <w:divBdr>
        <w:top w:val="none" w:sz="0" w:space="0" w:color="auto"/>
        <w:left w:val="none" w:sz="0" w:space="0" w:color="auto"/>
        <w:bottom w:val="none" w:sz="0" w:space="0" w:color="auto"/>
        <w:right w:val="none" w:sz="0" w:space="0" w:color="auto"/>
      </w:divBdr>
    </w:div>
    <w:div w:id="408771247">
      <w:bodyDiv w:val="1"/>
      <w:marLeft w:val="0"/>
      <w:marRight w:val="0"/>
      <w:marTop w:val="0"/>
      <w:marBottom w:val="0"/>
      <w:divBdr>
        <w:top w:val="none" w:sz="0" w:space="0" w:color="auto"/>
        <w:left w:val="none" w:sz="0" w:space="0" w:color="auto"/>
        <w:bottom w:val="none" w:sz="0" w:space="0" w:color="auto"/>
        <w:right w:val="none" w:sz="0" w:space="0" w:color="auto"/>
      </w:divBdr>
    </w:div>
    <w:div w:id="718096534">
      <w:bodyDiv w:val="1"/>
      <w:marLeft w:val="0"/>
      <w:marRight w:val="0"/>
      <w:marTop w:val="0"/>
      <w:marBottom w:val="0"/>
      <w:divBdr>
        <w:top w:val="none" w:sz="0" w:space="0" w:color="auto"/>
        <w:left w:val="none" w:sz="0" w:space="0" w:color="auto"/>
        <w:bottom w:val="none" w:sz="0" w:space="0" w:color="auto"/>
        <w:right w:val="none" w:sz="0" w:space="0" w:color="auto"/>
      </w:divBdr>
    </w:div>
    <w:div w:id="903956299">
      <w:bodyDiv w:val="1"/>
      <w:marLeft w:val="0"/>
      <w:marRight w:val="0"/>
      <w:marTop w:val="0"/>
      <w:marBottom w:val="0"/>
      <w:divBdr>
        <w:top w:val="none" w:sz="0" w:space="0" w:color="auto"/>
        <w:left w:val="none" w:sz="0" w:space="0" w:color="auto"/>
        <w:bottom w:val="none" w:sz="0" w:space="0" w:color="auto"/>
        <w:right w:val="none" w:sz="0" w:space="0" w:color="auto"/>
      </w:divBdr>
    </w:div>
    <w:div w:id="1043678454">
      <w:bodyDiv w:val="1"/>
      <w:marLeft w:val="0"/>
      <w:marRight w:val="0"/>
      <w:marTop w:val="0"/>
      <w:marBottom w:val="0"/>
      <w:divBdr>
        <w:top w:val="none" w:sz="0" w:space="0" w:color="auto"/>
        <w:left w:val="none" w:sz="0" w:space="0" w:color="auto"/>
        <w:bottom w:val="none" w:sz="0" w:space="0" w:color="auto"/>
        <w:right w:val="none" w:sz="0" w:space="0" w:color="auto"/>
      </w:divBdr>
    </w:div>
    <w:div w:id="1075012256">
      <w:bodyDiv w:val="1"/>
      <w:marLeft w:val="0"/>
      <w:marRight w:val="0"/>
      <w:marTop w:val="0"/>
      <w:marBottom w:val="0"/>
      <w:divBdr>
        <w:top w:val="none" w:sz="0" w:space="0" w:color="auto"/>
        <w:left w:val="none" w:sz="0" w:space="0" w:color="auto"/>
        <w:bottom w:val="none" w:sz="0" w:space="0" w:color="auto"/>
        <w:right w:val="none" w:sz="0" w:space="0" w:color="auto"/>
      </w:divBdr>
    </w:div>
    <w:div w:id="1133136252">
      <w:bodyDiv w:val="1"/>
      <w:marLeft w:val="0"/>
      <w:marRight w:val="0"/>
      <w:marTop w:val="0"/>
      <w:marBottom w:val="0"/>
      <w:divBdr>
        <w:top w:val="none" w:sz="0" w:space="0" w:color="auto"/>
        <w:left w:val="none" w:sz="0" w:space="0" w:color="auto"/>
        <w:bottom w:val="none" w:sz="0" w:space="0" w:color="auto"/>
        <w:right w:val="none" w:sz="0" w:space="0" w:color="auto"/>
      </w:divBdr>
    </w:div>
    <w:div w:id="1320230598">
      <w:bodyDiv w:val="1"/>
      <w:marLeft w:val="0"/>
      <w:marRight w:val="0"/>
      <w:marTop w:val="0"/>
      <w:marBottom w:val="0"/>
      <w:divBdr>
        <w:top w:val="none" w:sz="0" w:space="0" w:color="auto"/>
        <w:left w:val="none" w:sz="0" w:space="0" w:color="auto"/>
        <w:bottom w:val="none" w:sz="0" w:space="0" w:color="auto"/>
        <w:right w:val="none" w:sz="0" w:space="0" w:color="auto"/>
      </w:divBdr>
    </w:div>
    <w:div w:id="158475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wandjelo_solarpv@at2er.t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sation_marches@at2er.t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oad.org./fr/opportunites/documentation-passation-de-march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ad.org/fr/opportunites/documentation-passation-de-marches/" TargetMode="External"/><Relationship Id="rId5" Type="http://schemas.openxmlformats.org/officeDocument/2006/relationships/webSettings" Target="webSettings.xml"/><Relationship Id="rId15" Type="http://schemas.openxmlformats.org/officeDocument/2006/relationships/hyperlink" Target="mailto:awandjelo_solarpv@at2er.tg"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assation_marches@at2er.t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6674-35A5-476F-A343-55C369278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2038</Words>
  <Characters>11618</Characters>
  <Application>Microsoft Office Word</Application>
  <DocSecurity>0</DocSecurity>
  <Lines>96</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A.1 Avis de marché de services (FR)</vt:lpstr>
      <vt:lpstr>A.1 Avis de marché de services (FR)</vt:lpstr>
    </vt:vector>
  </TitlesOfParts>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 Avis de marché de services (FR)</dc:title>
  <dc:subject/>
  <dc:creator>PER172</dc:creator>
  <cp:keywords/>
  <cp:lastModifiedBy>ABBI TOYI AT2ER</cp:lastModifiedBy>
  <cp:revision>8</cp:revision>
  <cp:lastPrinted>2023-04-03T15:20:00Z</cp:lastPrinted>
  <dcterms:created xsi:type="dcterms:W3CDTF">2026-06-30T13:29:00Z</dcterms:created>
  <dcterms:modified xsi:type="dcterms:W3CDTF">2026-07-03T10:28:00Z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LW_DocType">
    <vt:lpwstr>NORMAL</vt:lpwstr>
  </property>
</Properties>
</file>